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770" w:rsidRDefault="00512770" w:rsidP="00512770">
      <w:pPr>
        <w:pStyle w:val="NormalWeb"/>
        <w:shd w:val="clear" w:color="auto" w:fill="FFFFFF"/>
        <w:jc w:val="center"/>
        <w:rPr>
          <w:rFonts w:ascii="Arial" w:hAnsi="Arial" w:cs="Arial"/>
          <w:color w:val="000000"/>
        </w:rPr>
      </w:pPr>
      <w:r>
        <w:rPr>
          <w:rFonts w:ascii="Arial" w:eastAsia="Times New Roman" w:hAnsi="Arial" w:cs="Arial"/>
          <w:b/>
          <w:bCs/>
          <w:color w:val="00B0F0"/>
          <w:sz w:val="28"/>
          <w:szCs w:val="32"/>
          <w:shd w:val="clear" w:color="auto" w:fill="FFFFFF"/>
        </w:rPr>
        <w:t>WLD Teaching and Learning Digest – w/c 9</w:t>
      </w:r>
      <w:r>
        <w:rPr>
          <w:rFonts w:ascii="Arial" w:eastAsia="Times New Roman" w:hAnsi="Arial" w:cs="Arial"/>
          <w:b/>
          <w:bCs/>
          <w:color w:val="00B0F0"/>
          <w:sz w:val="28"/>
          <w:szCs w:val="32"/>
          <w:shd w:val="clear" w:color="auto" w:fill="FFFFFF"/>
          <w:vertAlign w:val="superscript"/>
        </w:rPr>
        <w:t>th</w:t>
      </w:r>
      <w:r>
        <w:rPr>
          <w:rFonts w:ascii="Arial" w:eastAsia="Times New Roman" w:hAnsi="Arial" w:cs="Arial"/>
          <w:b/>
          <w:bCs/>
          <w:color w:val="00B0F0"/>
          <w:sz w:val="28"/>
          <w:szCs w:val="32"/>
          <w:shd w:val="clear" w:color="auto" w:fill="FFFFFF"/>
        </w:rPr>
        <w:t xml:space="preserve"> July 2018</w:t>
      </w:r>
    </w:p>
    <w:p w:rsidR="00512770" w:rsidRDefault="00512770" w:rsidP="00512770">
      <w:pPr>
        <w:pStyle w:val="NormalWeb"/>
        <w:shd w:val="clear" w:color="auto" w:fill="FFFFFF"/>
        <w:jc w:val="center"/>
        <w:rPr>
          <w:rFonts w:ascii="Arial" w:hAnsi="Arial" w:cs="Arial"/>
          <w:color w:val="000000"/>
        </w:rPr>
      </w:pPr>
      <w:r>
        <w:rPr>
          <w:rFonts w:ascii="Arial" w:eastAsia="Times New Roman" w:hAnsi="Arial" w:cs="Arial"/>
          <w:color w:val="000000"/>
          <w:shd w:val="clear" w:color="auto" w:fill="FFFFFF"/>
        </w:rPr>
        <w:t> </w:t>
      </w:r>
    </w:p>
    <w:p w:rsidR="00512770" w:rsidRDefault="00512770" w:rsidP="00512770">
      <w:pPr>
        <w:pStyle w:val="NormalWeb"/>
        <w:shd w:val="clear" w:color="auto" w:fill="FFFFFF"/>
        <w:jc w:val="center"/>
        <w:rPr>
          <w:rFonts w:ascii="Arial" w:hAnsi="Arial" w:cs="Arial"/>
          <w:color w:val="000000"/>
        </w:rPr>
      </w:pPr>
      <w:r>
        <w:rPr>
          <w:rFonts w:ascii="Arial" w:eastAsia="Times New Roman" w:hAnsi="Arial" w:cs="Arial"/>
          <w:color w:val="000000"/>
          <w:shd w:val="clear" w:color="auto" w:fill="FFFFFF"/>
        </w:rPr>
        <w:t> </w:t>
      </w:r>
    </w:p>
    <w:tbl>
      <w:tblPr>
        <w:tblW w:w="0" w:type="auto"/>
        <w:jc w:val="center"/>
        <w:shd w:val="clear" w:color="auto" w:fill="F7CAAC"/>
        <w:tblCellMar>
          <w:left w:w="0" w:type="dxa"/>
          <w:right w:w="0" w:type="dxa"/>
        </w:tblCellMar>
        <w:tblLook w:val="04A0" w:firstRow="1" w:lastRow="0" w:firstColumn="1" w:lastColumn="0" w:noHBand="0" w:noVBand="1"/>
      </w:tblPr>
      <w:tblGrid>
        <w:gridCol w:w="5240"/>
        <w:gridCol w:w="3416"/>
      </w:tblGrid>
      <w:tr w:rsidR="00512770" w:rsidTr="00512770">
        <w:trPr>
          <w:jc w:val="center"/>
        </w:trPr>
        <w:tc>
          <w:tcPr>
            <w:tcW w:w="5240"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hideMark/>
          </w:tcPr>
          <w:p w:rsidR="00512770" w:rsidRDefault="00512770">
            <w:pPr>
              <w:pStyle w:val="NormalWeb"/>
              <w:jc w:val="center"/>
            </w:pPr>
            <w:r>
              <w:rPr>
                <w:rFonts w:ascii="Calibri" w:eastAsia="Times New Roman" w:hAnsi="Calibri" w:cs="Calibri"/>
                <w:b/>
                <w:bCs/>
                <w:color w:val="0070C0"/>
                <w:szCs w:val="20"/>
                <w:u w:val="single"/>
              </w:rPr>
              <w:t>COMMUNICATION FOCUSES</w:t>
            </w:r>
          </w:p>
          <w:p w:rsidR="00512770" w:rsidRDefault="00512770">
            <w:pPr>
              <w:pStyle w:val="NormalWeb"/>
              <w:jc w:val="center"/>
            </w:pPr>
            <w:r>
              <w:rPr>
                <w:rFonts w:ascii="Calibri" w:eastAsia="Times New Roman" w:hAnsi="Calibri" w:cs="Calibri"/>
              </w:rPr>
              <w:t> </w:t>
            </w:r>
          </w:p>
          <w:p w:rsidR="00512770" w:rsidRDefault="00512770">
            <w:pPr>
              <w:pStyle w:val="NormalWeb"/>
              <w:jc w:val="center"/>
            </w:pPr>
            <w:r>
              <w:rPr>
                <w:rFonts w:ascii="Calibri" w:eastAsia="Times New Roman" w:hAnsi="Calibri" w:cstheme="minorHAnsi"/>
                <w:b/>
                <w:color w:val="0070C0"/>
                <w:szCs w:val="20"/>
                <w:u w:val="single"/>
              </w:rPr>
              <w:t>Audit</w:t>
            </w:r>
            <w:r>
              <w:rPr>
                <w:rFonts w:ascii="Calibri" w:eastAsia="Times New Roman" w:hAnsi="Calibri" w:cstheme="minorHAnsi"/>
                <w:color w:val="0070C0"/>
                <w:szCs w:val="20"/>
              </w:rPr>
              <w:t xml:space="preserve"> – try asking your students to mind-map all of the key subject-specific words that they have used this year in your subject.</w:t>
            </w:r>
          </w:p>
          <w:p w:rsidR="00512770" w:rsidRDefault="00512770">
            <w:pPr>
              <w:pStyle w:val="NormalWeb"/>
              <w:jc w:val="center"/>
            </w:pPr>
            <w:r>
              <w:rPr>
                <w:rFonts w:ascii="Calibri" w:eastAsia="Times New Roman" w:hAnsi="Calibri" w:cs="Calibri"/>
                <w:color w:val="0070C0"/>
                <w:szCs w:val="20"/>
              </w:rPr>
              <w:t xml:space="preserve">Then ask them to prioritise the top ten. </w:t>
            </w:r>
          </w:p>
          <w:p w:rsidR="00512770" w:rsidRDefault="00512770">
            <w:pPr>
              <w:pStyle w:val="NormalWeb"/>
              <w:jc w:val="center"/>
            </w:pPr>
            <w:r>
              <w:rPr>
                <w:rFonts w:ascii="Calibri" w:eastAsia="Times New Roman" w:hAnsi="Calibri" w:cs="Calibri"/>
                <w:color w:val="0070C0"/>
                <w:szCs w:val="20"/>
              </w:rPr>
              <w:t>Practise spelling them.</w:t>
            </w:r>
          </w:p>
        </w:tc>
        <w:tc>
          <w:tcPr>
            <w:tcW w:w="3416" w:type="dxa"/>
            <w:tcBorders>
              <w:top w:val="single" w:sz="8" w:space="0" w:color="FFFFFF"/>
              <w:left w:val="nil"/>
              <w:bottom w:val="single" w:sz="8" w:space="0" w:color="FFFFFF"/>
              <w:right w:val="single" w:sz="8" w:space="0" w:color="FFFFFF"/>
            </w:tcBorders>
            <w:shd w:val="clear" w:color="auto" w:fill="auto"/>
            <w:tcMar>
              <w:top w:w="0" w:type="dxa"/>
              <w:left w:w="108" w:type="dxa"/>
              <w:bottom w:w="0" w:type="dxa"/>
              <w:right w:w="108" w:type="dxa"/>
            </w:tcMar>
            <w:hideMark/>
          </w:tcPr>
          <w:p w:rsidR="00512770" w:rsidRDefault="00512770">
            <w:pPr>
              <w:pStyle w:val="NormalWeb"/>
              <w:jc w:val="center"/>
            </w:pPr>
            <w:r>
              <w:rPr>
                <w:rFonts w:ascii="Calibri" w:eastAsia="Times New Roman" w:hAnsi="Calibri" w:cs="Calibri"/>
                <w:b/>
                <w:bCs/>
                <w:color w:val="0070C0"/>
                <w:szCs w:val="20"/>
                <w:u w:val="single"/>
              </w:rPr>
              <w:t>DYSLEXIA-FRIENDLY STRATEGY</w:t>
            </w:r>
          </w:p>
          <w:p w:rsidR="00512770" w:rsidRDefault="00512770">
            <w:pPr>
              <w:pStyle w:val="NormalWeb"/>
            </w:pPr>
            <w:r>
              <w:rPr>
                <w:rFonts w:ascii="Calibri" w:eastAsia="Times New Roman" w:hAnsi="Calibri" w:cs="Calibri"/>
                <w:color w:val="0070C0"/>
                <w:szCs w:val="20"/>
              </w:rPr>
              <w:t> </w:t>
            </w:r>
          </w:p>
          <w:p w:rsidR="00512770" w:rsidRDefault="00512770">
            <w:pPr>
              <w:pStyle w:val="NormalWeb"/>
              <w:jc w:val="center"/>
            </w:pPr>
            <w:r>
              <w:rPr>
                <w:rFonts w:ascii="Calibri" w:eastAsia="Times New Roman" w:hAnsi="Calibri" w:cs="Calibri"/>
                <w:color w:val="0070C0"/>
              </w:rPr>
              <w:t xml:space="preserve">Give students take up time.  </w:t>
            </w:r>
          </w:p>
          <w:p w:rsidR="00512770" w:rsidRDefault="00512770">
            <w:pPr>
              <w:pStyle w:val="NormalWeb"/>
              <w:jc w:val="center"/>
            </w:pPr>
            <w:r>
              <w:rPr>
                <w:rFonts w:ascii="Calibri" w:eastAsia="Times New Roman" w:hAnsi="Calibri" w:cs="Calibri"/>
                <w:color w:val="0070C0"/>
              </w:rPr>
              <w:t>Use POSE – PAUSE – POUNCE and BOUNCE for this.</w:t>
            </w:r>
          </w:p>
        </w:tc>
      </w:tr>
    </w:tbl>
    <w:p w:rsidR="00512770" w:rsidRDefault="00512770" w:rsidP="00512770">
      <w:pPr>
        <w:pStyle w:val="NormalWeb"/>
        <w:shd w:val="clear" w:color="auto" w:fill="FFFFFF"/>
        <w:rPr>
          <w:rFonts w:ascii="Arial" w:hAnsi="Arial" w:cs="Arial"/>
          <w:color w:val="000000"/>
        </w:rPr>
      </w:pPr>
      <w:r>
        <w:rPr>
          <w:rFonts w:ascii="Arial" w:eastAsia="Times New Roman" w:hAnsi="Arial" w:cs="Arial"/>
          <w:color w:val="000000"/>
          <w:shd w:val="clear" w:color="auto" w:fill="FFFFFF"/>
        </w:rPr>
        <w:t> </w:t>
      </w:r>
    </w:p>
    <w:p w:rsidR="00512770" w:rsidRDefault="00512770" w:rsidP="00512770">
      <w:pPr>
        <w:pStyle w:val="NormalWeb"/>
        <w:shd w:val="clear" w:color="auto" w:fill="FFFFFF"/>
        <w:rPr>
          <w:rFonts w:ascii="Arial" w:hAnsi="Arial" w:cs="Arial"/>
          <w:color w:val="000000"/>
        </w:rPr>
      </w:pPr>
      <w:r>
        <w:rPr>
          <w:rFonts w:ascii="Calibri" w:eastAsia="Times New Roman" w:hAnsi="Calibri" w:cs="Calibri"/>
          <w:b/>
          <w:bCs/>
          <w:color w:val="C45911"/>
          <w:shd w:val="clear" w:color="auto" w:fill="FFFFFF"/>
        </w:rPr>
        <w:t> </w:t>
      </w:r>
    </w:p>
    <w:p w:rsidR="00512770" w:rsidRDefault="00512770" w:rsidP="00512770">
      <w:pPr>
        <w:pStyle w:val="NormalWeb"/>
        <w:shd w:val="clear" w:color="auto" w:fill="FFFFFF"/>
        <w:rPr>
          <w:rFonts w:ascii="Arial" w:hAnsi="Arial" w:cs="Arial"/>
          <w:color w:val="000000"/>
        </w:rPr>
      </w:pPr>
      <w:r>
        <w:rPr>
          <w:rFonts w:ascii="Calibri" w:eastAsia="Times New Roman" w:hAnsi="Calibri" w:cs="Calibri"/>
          <w:b/>
          <w:bCs/>
          <w:color w:val="C45911"/>
          <w:u w:val="single"/>
          <w:shd w:val="clear" w:color="auto" w:fill="FFFFFF"/>
        </w:rPr>
        <w:t>This week:</w:t>
      </w:r>
    </w:p>
    <w:p w:rsidR="00512770" w:rsidRDefault="00512770" w:rsidP="00512770">
      <w:pPr>
        <w:numPr>
          <w:ilvl w:val="0"/>
          <w:numId w:val="1"/>
        </w:numPr>
        <w:shd w:val="clear" w:color="auto" w:fill="FFFFFF"/>
        <w:spacing w:before="100" w:beforeAutospacing="1" w:after="100" w:afterAutospacing="1"/>
        <w:rPr>
          <w:rFonts w:ascii="Arial" w:eastAsia="Times New Roman" w:hAnsi="Arial" w:cs="Arial"/>
          <w:color w:val="000000"/>
        </w:rPr>
      </w:pPr>
      <w:r>
        <w:rPr>
          <w:rFonts w:ascii="Calibri" w:eastAsia="Times New Roman" w:hAnsi="Calibri" w:cs="Calibri"/>
          <w:color w:val="D05C12"/>
          <w:shd w:val="clear" w:color="auto" w:fill="FFFFFF"/>
        </w:rPr>
        <w:t>The </w:t>
      </w:r>
      <w:r>
        <w:rPr>
          <w:rFonts w:ascii="Calibri" w:eastAsia="Times New Roman" w:hAnsi="Calibri" w:cs="Calibri"/>
          <w:b/>
          <w:bCs/>
          <w:color w:val="FF0000"/>
          <w:shd w:val="clear" w:color="auto" w:fill="FFFFFF"/>
        </w:rPr>
        <w:t>thought for the week</w:t>
      </w:r>
      <w:r>
        <w:rPr>
          <w:rFonts w:ascii="Calibri" w:eastAsia="Times New Roman" w:hAnsi="Calibri" w:cs="Calibri"/>
          <w:color w:val="D05C12"/>
          <w:shd w:val="clear" w:color="auto" w:fill="FFFFFF"/>
        </w:rPr>
        <w:t> this week is </w:t>
      </w:r>
      <w:r>
        <w:rPr>
          <w:rFonts w:ascii="Calibri" w:eastAsia="Times New Roman" w:hAnsi="Calibri" w:cs="Calibri"/>
          <w:b/>
          <w:bCs/>
          <w:color w:val="D05C12"/>
          <w:shd w:val="clear" w:color="auto" w:fill="FFFFFF"/>
        </w:rPr>
        <w:t xml:space="preserve">‘Achievement </w:t>
      </w:r>
      <w:r>
        <w:rPr>
          <w:rFonts w:ascii="Calibri" w:eastAsia="Times New Roman" w:hAnsi="Calibri" w:cs="Calibri"/>
          <w:bCs/>
          <w:color w:val="D05C12"/>
          <w:shd w:val="clear" w:color="auto" w:fill="FFFFFF"/>
        </w:rPr>
        <w:t>– and end of year evaluation’.  Use form time this week to evaluate the achievements that your students have made this year.  Please use the PPT and article circulated or feel free to share your own materials.</w:t>
      </w:r>
      <w:r>
        <w:rPr>
          <w:rFonts w:ascii="Calibri" w:eastAsia="Times New Roman" w:hAnsi="Calibri" w:cs="Calibri"/>
          <w:b/>
          <w:bCs/>
          <w:color w:val="D05C12"/>
          <w:shd w:val="clear" w:color="auto" w:fill="FFFFFF"/>
        </w:rPr>
        <w:t xml:space="preserve"> </w:t>
      </w:r>
    </w:p>
    <w:p w:rsidR="00512770" w:rsidRDefault="00512770" w:rsidP="00512770">
      <w:pPr>
        <w:numPr>
          <w:ilvl w:val="0"/>
          <w:numId w:val="1"/>
        </w:numPr>
        <w:shd w:val="clear" w:color="auto" w:fill="FFFFFF"/>
        <w:spacing w:before="100" w:beforeAutospacing="1" w:after="100" w:afterAutospacing="1"/>
        <w:rPr>
          <w:rFonts w:ascii="Arial" w:eastAsia="Times New Roman" w:hAnsi="Arial" w:cs="Arial"/>
          <w:color w:val="000000"/>
        </w:rPr>
      </w:pPr>
      <w:r>
        <w:rPr>
          <w:rFonts w:ascii="Calibri" w:eastAsia="Times New Roman" w:hAnsi="Calibri" w:cs="Calibri"/>
          <w:b/>
          <w:bCs/>
          <w:color w:val="FF0000"/>
          <w:shd w:val="clear" w:color="auto" w:fill="FFFFFF"/>
        </w:rPr>
        <w:t xml:space="preserve">Teaching and learning </w:t>
      </w:r>
      <w:r>
        <w:rPr>
          <w:rFonts w:ascii="Calibri" w:eastAsia="Times New Roman" w:hAnsi="Calibri" w:cs="Calibri"/>
          <w:b/>
          <w:bCs/>
          <w:color w:val="D05C12"/>
          <w:shd w:val="clear" w:color="auto" w:fill="FFFFFF"/>
        </w:rPr>
        <w:t xml:space="preserve">– </w:t>
      </w:r>
      <w:r>
        <w:rPr>
          <w:rFonts w:ascii="Calibri" w:eastAsia="Times New Roman" w:hAnsi="Calibri" w:cs="Calibri"/>
          <w:b/>
          <w:bCs/>
          <w:color w:val="FF0000"/>
          <w:shd w:val="clear" w:color="auto" w:fill="FFFFFF"/>
        </w:rPr>
        <w:t>Walton le Dale style:</w:t>
      </w:r>
      <w:r>
        <w:rPr>
          <w:rFonts w:ascii="Calibri" w:eastAsia="Times New Roman" w:hAnsi="Calibri" w:cs="Calibri"/>
          <w:bCs/>
          <w:color w:val="FF0000"/>
          <w:shd w:val="clear" w:color="auto" w:fill="FFFFFF"/>
        </w:rPr>
        <w:t xml:space="preserve"> </w:t>
      </w:r>
      <w:r>
        <w:rPr>
          <w:rFonts w:ascii="Calibri" w:eastAsia="Times New Roman" w:hAnsi="Calibri" w:cs="Calibri"/>
          <w:bCs/>
          <w:color w:val="D05C12"/>
          <w:shd w:val="clear" w:color="auto" w:fill="FFFFFF"/>
        </w:rPr>
        <w:t xml:space="preserve">Please could subject leads discuss the teaching and learning toolkit with department areas and provide feedback/amendment (preferably by the holidays, otherwise by the end of the first week back).  I would like to re-issue </w:t>
      </w:r>
      <w:proofErr w:type="gramStart"/>
      <w:r>
        <w:rPr>
          <w:rFonts w:ascii="Calibri" w:eastAsia="Times New Roman" w:hAnsi="Calibri" w:cs="Calibri"/>
          <w:bCs/>
          <w:color w:val="D05C12"/>
          <w:shd w:val="clear" w:color="auto" w:fill="FFFFFF"/>
        </w:rPr>
        <w:t>asap</w:t>
      </w:r>
      <w:proofErr w:type="gramEnd"/>
      <w:r>
        <w:rPr>
          <w:rFonts w:ascii="Calibri" w:eastAsia="Times New Roman" w:hAnsi="Calibri" w:cs="Calibri"/>
          <w:bCs/>
          <w:color w:val="D05C12"/>
          <w:shd w:val="clear" w:color="auto" w:fill="FFFFFF"/>
        </w:rPr>
        <w:t>.</w:t>
      </w:r>
      <w:r>
        <w:rPr>
          <w:rFonts w:eastAsia="Times New Roman"/>
          <w:color w:val="000000"/>
        </w:rPr>
        <w:t xml:space="preserve"> </w:t>
      </w:r>
    </w:p>
    <w:p w:rsidR="00512770" w:rsidRDefault="00512770" w:rsidP="00512770">
      <w:pPr>
        <w:numPr>
          <w:ilvl w:val="0"/>
          <w:numId w:val="1"/>
        </w:numPr>
        <w:shd w:val="clear" w:color="auto" w:fill="FFFFFF"/>
        <w:spacing w:before="100" w:beforeAutospacing="1" w:after="100" w:afterAutospacing="1"/>
        <w:jc w:val="both"/>
        <w:rPr>
          <w:rFonts w:ascii="Arial" w:eastAsia="Times New Roman" w:hAnsi="Arial" w:cs="Arial"/>
          <w:color w:val="000000"/>
        </w:rPr>
      </w:pPr>
      <w:r>
        <w:rPr>
          <w:rFonts w:ascii="Calibri" w:eastAsia="Times New Roman" w:hAnsi="Calibri" w:cs="Calibri"/>
          <w:b/>
          <w:color w:val="FF0000"/>
          <w:shd w:val="clear" w:color="auto" w:fill="FFFFFF"/>
        </w:rPr>
        <w:t xml:space="preserve">CPD Update – </w:t>
      </w:r>
    </w:p>
    <w:p w:rsidR="00512770" w:rsidRDefault="00512770" w:rsidP="00512770">
      <w:pPr>
        <w:numPr>
          <w:ilvl w:val="1"/>
          <w:numId w:val="1"/>
        </w:numPr>
        <w:shd w:val="clear" w:color="auto" w:fill="FFFFFF"/>
        <w:spacing w:before="100" w:beforeAutospacing="1" w:after="100" w:afterAutospacing="1"/>
        <w:jc w:val="both"/>
        <w:rPr>
          <w:rFonts w:ascii="Arial" w:eastAsia="Times New Roman" w:hAnsi="Arial" w:cs="Arial"/>
          <w:color w:val="000000"/>
        </w:rPr>
      </w:pPr>
      <w:r>
        <w:rPr>
          <w:rFonts w:ascii="Calibri" w:eastAsia="Times New Roman" w:hAnsi="Calibri" w:cs="Calibri"/>
          <w:color w:val="C45911" w:themeColor="accent2" w:themeShade="BF"/>
          <w:shd w:val="clear" w:color="auto" w:fill="FFFFFF"/>
        </w:rPr>
        <w:t xml:space="preserve">Please let James or I know of research areas for study groups next year by the </w:t>
      </w:r>
      <w:r>
        <w:rPr>
          <w:rFonts w:ascii="Calibri" w:eastAsia="Times New Roman" w:hAnsi="Calibri" w:cs="Calibri"/>
          <w:b/>
          <w:i/>
          <w:color w:val="C45911" w:themeColor="accent2" w:themeShade="BF"/>
          <w:shd w:val="clear" w:color="auto" w:fill="FFFFFF"/>
        </w:rPr>
        <w:t>end of the week</w:t>
      </w:r>
      <w:r>
        <w:rPr>
          <w:rFonts w:ascii="Calibri" w:eastAsia="Times New Roman" w:hAnsi="Calibri" w:cs="Calibri"/>
          <w:color w:val="C45911" w:themeColor="accent2" w:themeShade="BF"/>
          <w:shd w:val="clear" w:color="auto" w:fill="FFFFFF"/>
        </w:rPr>
        <w:t xml:space="preserve"> so that we can organise the groups ready for September.   </w:t>
      </w:r>
    </w:p>
    <w:p w:rsidR="00512770" w:rsidRDefault="00512770" w:rsidP="00512770">
      <w:pPr>
        <w:numPr>
          <w:ilvl w:val="1"/>
          <w:numId w:val="1"/>
        </w:numPr>
        <w:shd w:val="clear" w:color="auto" w:fill="FFFFFF"/>
        <w:spacing w:before="100" w:beforeAutospacing="1" w:after="100" w:afterAutospacing="1"/>
        <w:jc w:val="both"/>
        <w:rPr>
          <w:rFonts w:ascii="Arial" w:eastAsia="Times New Roman" w:hAnsi="Arial" w:cs="Arial"/>
          <w:color w:val="000000"/>
        </w:rPr>
      </w:pPr>
      <w:r>
        <w:rPr>
          <w:rFonts w:ascii="Calibri" w:eastAsia="Times New Roman" w:hAnsi="Calibri" w:cs="Calibri"/>
          <w:color w:val="C45911" w:themeColor="accent2" w:themeShade="BF"/>
          <w:shd w:val="clear" w:color="auto" w:fill="FFFFFF"/>
        </w:rPr>
        <w:t>Thanks for signing up to your sessions for the CPD next Monday.  I will email final details this week. These may form the starting point for study group research next year.</w:t>
      </w:r>
      <w:r>
        <w:rPr>
          <w:rFonts w:ascii="Calibri" w:eastAsia="Times New Roman" w:hAnsi="Calibri" w:cs="Calibri"/>
          <w:b/>
          <w:color w:val="C45911" w:themeColor="accent2" w:themeShade="BF"/>
          <w:shd w:val="clear" w:color="auto" w:fill="FFFFFF"/>
        </w:rPr>
        <w:t xml:space="preserve">  </w:t>
      </w:r>
    </w:p>
    <w:p w:rsidR="00512770" w:rsidRDefault="00512770" w:rsidP="00512770">
      <w:pPr>
        <w:numPr>
          <w:ilvl w:val="0"/>
          <w:numId w:val="1"/>
        </w:numPr>
        <w:shd w:val="clear" w:color="auto" w:fill="FFFFFF"/>
        <w:spacing w:before="100" w:beforeAutospacing="1" w:after="100" w:afterAutospacing="1"/>
        <w:jc w:val="both"/>
        <w:rPr>
          <w:rFonts w:ascii="Arial" w:eastAsia="Times New Roman" w:hAnsi="Arial" w:cs="Arial"/>
          <w:color w:val="000000"/>
        </w:rPr>
      </w:pPr>
      <w:r>
        <w:rPr>
          <w:rFonts w:ascii="Calibri" w:eastAsia="Times New Roman" w:hAnsi="Calibri" w:cs="Calibri"/>
          <w:b/>
          <w:color w:val="FF0000"/>
          <w:shd w:val="clear" w:color="auto" w:fill="FFFFFF"/>
        </w:rPr>
        <w:t>Trainees –</w:t>
      </w:r>
      <w:r>
        <w:rPr>
          <w:rFonts w:ascii="Calibri" w:eastAsia="Times New Roman" w:hAnsi="Calibri" w:cs="Calibri"/>
          <w:color w:val="000000"/>
        </w:rPr>
        <w:t xml:space="preserve"> </w:t>
      </w:r>
      <w:r>
        <w:rPr>
          <w:rFonts w:ascii="Calibri" w:eastAsia="Times New Roman" w:hAnsi="Calibri" w:cs="Calibri"/>
          <w:color w:val="C45911" w:themeColor="accent2" w:themeShade="BF"/>
        </w:rPr>
        <w:t xml:space="preserve">We will not be taking any trainees until after Christmas, when we will have a PE trainee from the PTSA working with Graham and his team.  </w:t>
      </w:r>
    </w:p>
    <w:p w:rsidR="00512770" w:rsidRDefault="00512770" w:rsidP="00512770">
      <w:pPr>
        <w:numPr>
          <w:ilvl w:val="0"/>
          <w:numId w:val="1"/>
        </w:numPr>
        <w:shd w:val="clear" w:color="auto" w:fill="FFFFFF"/>
        <w:spacing w:before="100" w:beforeAutospacing="1" w:after="100" w:afterAutospacing="1"/>
        <w:jc w:val="both"/>
        <w:rPr>
          <w:rFonts w:ascii="Arial" w:eastAsia="Times New Roman" w:hAnsi="Arial" w:cs="Arial"/>
          <w:color w:val="000000"/>
        </w:rPr>
      </w:pPr>
      <w:r>
        <w:rPr>
          <w:rFonts w:ascii="Calibri" w:eastAsia="Times New Roman" w:hAnsi="Calibri" w:cs="Calibri"/>
          <w:b/>
          <w:color w:val="FF0000"/>
          <w:shd w:val="clear" w:color="auto" w:fill="FFFFFF"/>
        </w:rPr>
        <w:t>NQTs –</w:t>
      </w:r>
      <w:r>
        <w:rPr>
          <w:rFonts w:ascii="Calibri" w:eastAsia="Times New Roman" w:hAnsi="Calibri" w:cs="Calibri"/>
          <w:color w:val="C45911" w:themeColor="accent2" w:themeShade="BF"/>
        </w:rPr>
        <w:t xml:space="preserve"> we have a number of NQTs and new members of staff starting with us next year.  Training schedules have been put in place and will be put onto the staff noticeboard this week.  Please edit/amend by Friday if there is a problem.  They have already been emailed round so should be okay.  </w:t>
      </w:r>
    </w:p>
    <w:p w:rsidR="00512770" w:rsidRDefault="00512770" w:rsidP="00512770">
      <w:pPr>
        <w:pStyle w:val="NormalWeb"/>
        <w:shd w:val="clear" w:color="auto" w:fill="FFFFFF"/>
        <w:spacing w:before="100" w:beforeAutospacing="1" w:after="100" w:afterAutospacing="1"/>
        <w:rPr>
          <w:rFonts w:ascii="Arial" w:hAnsi="Arial" w:cs="Arial"/>
          <w:color w:val="000000"/>
        </w:rPr>
      </w:pPr>
      <w:r>
        <w:rPr>
          <w:rFonts w:ascii="Calibri" w:eastAsia="Times New Roman" w:hAnsi="Calibri" w:cs="Calibri"/>
          <w:b/>
          <w:color w:val="00B050"/>
          <w:u w:val="single"/>
        </w:rPr>
        <w:t>Teaching Approach of the Week – Try It!</w:t>
      </w:r>
    </w:p>
    <w:p w:rsidR="00512770" w:rsidRDefault="00512770" w:rsidP="00512770">
      <w:pPr>
        <w:pStyle w:val="NormalWeb"/>
        <w:shd w:val="clear" w:color="auto" w:fill="FFFFFF"/>
        <w:spacing w:before="100" w:beforeAutospacing="1" w:after="100" w:afterAutospacing="1"/>
        <w:jc w:val="both"/>
        <w:rPr>
          <w:rFonts w:ascii="Arial" w:hAnsi="Arial" w:cs="Arial"/>
          <w:color w:val="000000"/>
        </w:rPr>
      </w:pPr>
      <w:r>
        <w:rPr>
          <w:rFonts w:ascii="Calibri" w:eastAsia="Times New Roman" w:hAnsi="Calibri" w:cstheme="minorHAnsi"/>
          <w:color w:val="00B050"/>
        </w:rPr>
        <w:t xml:space="preserve">This approach links to our </w:t>
      </w:r>
      <w:r>
        <w:rPr>
          <w:rFonts w:ascii="Calibri" w:eastAsia="Times New Roman" w:hAnsi="Calibri" w:cstheme="minorHAnsi"/>
          <w:b/>
          <w:i/>
          <w:color w:val="FF0000"/>
        </w:rPr>
        <w:t>TOOLKIT: ‘Understanding from Memory’</w:t>
      </w:r>
      <w:r>
        <w:rPr>
          <w:rFonts w:ascii="Calibri" w:eastAsia="Times New Roman" w:hAnsi="Calibri" w:cstheme="minorHAnsi"/>
          <w:color w:val="00B050"/>
        </w:rPr>
        <w:t xml:space="preserve"> section. </w:t>
      </w:r>
    </w:p>
    <w:p w:rsidR="00512770" w:rsidRDefault="00512770" w:rsidP="00512770">
      <w:pPr>
        <w:pStyle w:val="NormalWeb"/>
        <w:shd w:val="clear" w:color="auto" w:fill="FFFFFF"/>
        <w:spacing w:before="100" w:beforeAutospacing="1" w:after="100" w:afterAutospacing="1"/>
        <w:jc w:val="both"/>
        <w:rPr>
          <w:rFonts w:ascii="Arial" w:hAnsi="Arial" w:cs="Arial"/>
          <w:color w:val="000000"/>
        </w:rPr>
      </w:pPr>
      <w:r>
        <w:rPr>
          <w:rFonts w:ascii="Calibri" w:eastAsia="Times New Roman" w:hAnsi="Calibri" w:cs="Calibri"/>
          <w:color w:val="00B050"/>
        </w:rPr>
        <w:t>This week, I am focusing on vocabulary building.  This is obviously a skill that is crucial to our students.  I am taking these ideas from Alex Quigley’s ‘Closing the Vocabulary Gap’…definitely food for thought.  Please remember that we are all teachers of literacy and that we owe our students the chance to boost their skills.</w:t>
      </w:r>
    </w:p>
    <w:p w:rsidR="00512770" w:rsidRDefault="00512770" w:rsidP="00512770">
      <w:pPr>
        <w:pStyle w:val="NormalWeb"/>
        <w:shd w:val="clear" w:color="auto" w:fill="FFFFFF"/>
        <w:spacing w:before="100" w:beforeAutospacing="1" w:after="100" w:afterAutospacing="1"/>
        <w:jc w:val="both"/>
        <w:rPr>
          <w:rFonts w:ascii="Arial" w:hAnsi="Arial" w:cs="Arial"/>
          <w:color w:val="000000"/>
        </w:rPr>
      </w:pPr>
      <w:r>
        <w:rPr>
          <w:rFonts w:ascii="Calibri" w:eastAsia="Times New Roman" w:hAnsi="Calibri" w:cs="Calibri"/>
          <w:color w:val="00B050"/>
        </w:rPr>
        <w:t> </w:t>
      </w:r>
    </w:p>
    <w:p w:rsidR="00512770" w:rsidRDefault="00512770" w:rsidP="00512770">
      <w:pPr>
        <w:pStyle w:val="NormalWeb"/>
        <w:shd w:val="clear" w:color="auto" w:fill="FFFFFF"/>
        <w:spacing w:before="100" w:beforeAutospacing="1" w:after="100" w:afterAutospacing="1"/>
        <w:jc w:val="both"/>
        <w:rPr>
          <w:rFonts w:ascii="Arial" w:hAnsi="Arial" w:cs="Arial"/>
          <w:color w:val="000000"/>
        </w:rPr>
      </w:pPr>
      <w:r>
        <w:rPr>
          <w:noProof/>
          <w:color w:val="000000"/>
        </w:rPr>
        <w:lastRenderedPageBreak/>
        <w:drawing>
          <wp:inline distT="0" distB="0" distL="0" distR="0">
            <wp:extent cx="2990215" cy="7477760"/>
            <wp:effectExtent l="0" t="0" r="635" b="8890"/>
            <wp:docPr id="1" name="Picture 1" descr="Inline image OWAPstImg65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APstImg65378" descr="Inline image OWAPstImg65378"/>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90215" cy="7477760"/>
                    </a:xfrm>
                    <a:prstGeom prst="rect">
                      <a:avLst/>
                    </a:prstGeom>
                    <a:noFill/>
                    <a:ln>
                      <a:noFill/>
                    </a:ln>
                  </pic:spPr>
                </pic:pic>
              </a:graphicData>
            </a:graphic>
          </wp:inline>
        </w:drawing>
      </w:r>
    </w:p>
    <w:p w:rsidR="00512770" w:rsidRDefault="00512770" w:rsidP="00512770">
      <w:pPr>
        <w:pStyle w:val="NormalWeb"/>
        <w:shd w:val="clear" w:color="auto" w:fill="FFFFFF"/>
        <w:rPr>
          <w:rFonts w:ascii="Arial" w:hAnsi="Arial" w:cs="Arial"/>
          <w:color w:val="000000"/>
        </w:rPr>
      </w:pPr>
      <w:r>
        <w:rPr>
          <w:rFonts w:ascii="Calibri" w:eastAsia="Times New Roman" w:hAnsi="Calibri" w:cs="Calibri"/>
          <w:color w:val="00B050"/>
        </w:rPr>
        <w:t xml:space="preserve">Read more here: </w:t>
      </w:r>
    </w:p>
    <w:p w:rsidR="00512770" w:rsidRDefault="00512770" w:rsidP="00512770">
      <w:pPr>
        <w:pStyle w:val="NormalWeb"/>
        <w:shd w:val="clear" w:color="auto" w:fill="FFFFFF"/>
        <w:jc w:val="center"/>
        <w:rPr>
          <w:rFonts w:ascii="Arial" w:hAnsi="Arial" w:cs="Arial"/>
          <w:color w:val="000000"/>
        </w:rPr>
      </w:pPr>
      <w:hyperlink r:id="rId7" w:history="1">
        <w:r>
          <w:rPr>
            <w:rStyle w:val="Hyperlink"/>
            <w:rFonts w:ascii="Calibri" w:eastAsia="Times New Roman" w:hAnsi="Calibri" w:cs="Calibri"/>
            <w:i/>
          </w:rPr>
          <w:t>https://www.theconfidentteacher.com/category/closing-the-gap/</w:t>
        </w:r>
      </w:hyperlink>
    </w:p>
    <w:p w:rsidR="00512770" w:rsidRDefault="00512770" w:rsidP="00512770">
      <w:pPr>
        <w:pStyle w:val="NormalWeb"/>
        <w:shd w:val="clear" w:color="auto" w:fill="FFFFFF"/>
        <w:rPr>
          <w:rFonts w:ascii="Arial" w:hAnsi="Arial" w:cs="Arial"/>
          <w:color w:val="000000"/>
        </w:rPr>
      </w:pPr>
      <w:r>
        <w:rPr>
          <w:rFonts w:ascii="Calibri" w:eastAsia="Times New Roman" w:hAnsi="Calibri" w:cs="Calibri"/>
          <w:color w:val="00B050"/>
        </w:rPr>
        <w:t> </w:t>
      </w:r>
    </w:p>
    <w:p w:rsidR="00512770" w:rsidRDefault="00512770" w:rsidP="00512770">
      <w:pPr>
        <w:pStyle w:val="NormalWeb"/>
        <w:shd w:val="clear" w:color="auto" w:fill="FFFFFF"/>
        <w:rPr>
          <w:rFonts w:ascii="Arial" w:hAnsi="Arial" w:cs="Arial"/>
          <w:color w:val="000000"/>
        </w:rPr>
      </w:pPr>
      <w:r>
        <w:rPr>
          <w:rFonts w:ascii="Calibri" w:eastAsia="Times New Roman" w:hAnsi="Calibri" w:cs="Calibri"/>
          <w:b/>
          <w:bCs/>
          <w:color w:val="C00000"/>
          <w:u w:val="single"/>
          <w:shd w:val="clear" w:color="auto" w:fill="FFFFFF"/>
        </w:rPr>
        <w:t>Recent Top Tips (abridged)… Keep using them if they worked!</w:t>
      </w:r>
    </w:p>
    <w:p w:rsidR="00512770" w:rsidRDefault="00512770" w:rsidP="00512770">
      <w:pPr>
        <w:numPr>
          <w:ilvl w:val="0"/>
          <w:numId w:val="2"/>
        </w:numPr>
        <w:shd w:val="clear" w:color="auto" w:fill="FFFFFF"/>
        <w:spacing w:before="100" w:beforeAutospacing="1" w:after="100" w:afterAutospacing="1"/>
        <w:rPr>
          <w:rFonts w:ascii="Arial" w:eastAsia="Times New Roman" w:hAnsi="Arial" w:cs="Arial"/>
          <w:b/>
          <w:bCs/>
          <w:color w:val="C00000"/>
          <w:sz w:val="22"/>
          <w:szCs w:val="22"/>
        </w:rPr>
      </w:pPr>
      <w:r>
        <w:rPr>
          <w:rFonts w:ascii="Arial" w:eastAsia="Times New Roman" w:hAnsi="Arial" w:cstheme="minorHAnsi"/>
          <w:b/>
          <w:color w:val="C00000"/>
          <w:sz w:val="22"/>
        </w:rPr>
        <w:t>Clever use of seating plans</w:t>
      </w:r>
      <w:r>
        <w:rPr>
          <w:rFonts w:eastAsia="Times New Roman"/>
          <w:b/>
          <w:bCs/>
          <w:color w:val="C00000"/>
          <w:sz w:val="22"/>
          <w:szCs w:val="22"/>
        </w:rPr>
        <w:t xml:space="preserve"> </w:t>
      </w:r>
    </w:p>
    <w:p w:rsidR="00512770" w:rsidRDefault="00512770" w:rsidP="00512770">
      <w:pPr>
        <w:numPr>
          <w:ilvl w:val="0"/>
          <w:numId w:val="2"/>
        </w:numPr>
        <w:shd w:val="clear" w:color="auto" w:fill="FFFFFF"/>
        <w:spacing w:before="100" w:beforeAutospacing="1" w:after="100" w:afterAutospacing="1"/>
        <w:rPr>
          <w:rFonts w:ascii="Arial" w:eastAsia="Times New Roman" w:hAnsi="Arial" w:cs="Arial"/>
          <w:b/>
          <w:bCs/>
          <w:color w:val="C00000"/>
          <w:sz w:val="22"/>
          <w:szCs w:val="22"/>
        </w:rPr>
      </w:pPr>
      <w:r>
        <w:rPr>
          <w:rFonts w:ascii="Arial" w:eastAsia="Times New Roman" w:hAnsi="Arial" w:cstheme="minorHAnsi"/>
          <w:b/>
          <w:color w:val="C00000"/>
          <w:sz w:val="22"/>
        </w:rPr>
        <w:lastRenderedPageBreak/>
        <w:t>Behaviour strategies - reminders</w:t>
      </w:r>
      <w:r>
        <w:rPr>
          <w:rFonts w:eastAsia="Times New Roman"/>
          <w:b/>
          <w:bCs/>
          <w:color w:val="C00000"/>
          <w:sz w:val="22"/>
          <w:szCs w:val="22"/>
        </w:rPr>
        <w:t xml:space="preserve"> </w:t>
      </w:r>
    </w:p>
    <w:p w:rsidR="00512770" w:rsidRDefault="00512770" w:rsidP="00512770">
      <w:pPr>
        <w:numPr>
          <w:ilvl w:val="0"/>
          <w:numId w:val="2"/>
        </w:numPr>
        <w:shd w:val="clear" w:color="auto" w:fill="FFFFFF"/>
        <w:spacing w:before="100" w:beforeAutospacing="1" w:after="100" w:afterAutospacing="1"/>
        <w:rPr>
          <w:rFonts w:ascii="Arial" w:eastAsia="Times New Roman" w:hAnsi="Arial" w:cs="Arial"/>
          <w:b/>
          <w:bCs/>
          <w:color w:val="C00000"/>
          <w:sz w:val="22"/>
          <w:szCs w:val="22"/>
        </w:rPr>
      </w:pPr>
      <w:r>
        <w:rPr>
          <w:rFonts w:ascii="Arial" w:eastAsia="Times New Roman" w:hAnsi="Arial" w:cstheme="minorHAnsi"/>
          <w:b/>
          <w:color w:val="C00000"/>
          <w:sz w:val="22"/>
        </w:rPr>
        <w:t>Reading strategy – sum up a paragraph at a time</w:t>
      </w:r>
      <w:r>
        <w:rPr>
          <w:rFonts w:eastAsia="Times New Roman"/>
          <w:b/>
          <w:bCs/>
          <w:color w:val="C00000"/>
          <w:sz w:val="22"/>
          <w:szCs w:val="22"/>
        </w:rPr>
        <w:t xml:space="preserve"> </w:t>
      </w:r>
    </w:p>
    <w:p w:rsidR="00512770" w:rsidRDefault="00512770" w:rsidP="00512770">
      <w:pPr>
        <w:numPr>
          <w:ilvl w:val="0"/>
          <w:numId w:val="2"/>
        </w:numPr>
        <w:shd w:val="clear" w:color="auto" w:fill="FFFFFF"/>
        <w:spacing w:before="100" w:beforeAutospacing="1" w:after="100" w:afterAutospacing="1"/>
        <w:rPr>
          <w:rFonts w:ascii="Arial" w:eastAsia="Times New Roman" w:hAnsi="Arial" w:cs="Arial"/>
          <w:b/>
          <w:bCs/>
          <w:color w:val="C00000"/>
          <w:sz w:val="22"/>
          <w:szCs w:val="22"/>
        </w:rPr>
      </w:pPr>
      <w:r>
        <w:rPr>
          <w:rFonts w:ascii="Arial" w:eastAsia="Times New Roman" w:hAnsi="Arial" w:cstheme="minorHAnsi"/>
          <w:b/>
          <w:color w:val="C00000"/>
          <w:sz w:val="22"/>
        </w:rPr>
        <w:t>Calm behaviour management – wait, cue in positive role models for behaviour</w:t>
      </w:r>
      <w:r>
        <w:rPr>
          <w:rFonts w:eastAsia="Times New Roman"/>
          <w:b/>
          <w:bCs/>
          <w:color w:val="C00000"/>
          <w:sz w:val="22"/>
          <w:szCs w:val="22"/>
        </w:rPr>
        <w:t xml:space="preserve"> </w:t>
      </w:r>
    </w:p>
    <w:p w:rsidR="00512770" w:rsidRDefault="00512770" w:rsidP="00512770">
      <w:pPr>
        <w:numPr>
          <w:ilvl w:val="0"/>
          <w:numId w:val="2"/>
        </w:numPr>
        <w:shd w:val="clear" w:color="auto" w:fill="FFFFFF"/>
        <w:spacing w:before="100" w:beforeAutospacing="1" w:after="100" w:afterAutospacing="1"/>
        <w:rPr>
          <w:rFonts w:ascii="Arial" w:eastAsia="Times New Roman" w:hAnsi="Arial" w:cs="Arial"/>
          <w:b/>
          <w:bCs/>
          <w:color w:val="C00000"/>
          <w:sz w:val="22"/>
          <w:szCs w:val="22"/>
        </w:rPr>
      </w:pPr>
      <w:r>
        <w:rPr>
          <w:rFonts w:ascii="Arial" w:eastAsia="Times New Roman" w:hAnsi="Arial" w:cstheme="minorHAnsi"/>
          <w:b/>
          <w:color w:val="C00000"/>
          <w:sz w:val="22"/>
        </w:rPr>
        <w:t>Competition in lessons</w:t>
      </w:r>
      <w:r>
        <w:rPr>
          <w:rFonts w:eastAsia="Times New Roman"/>
          <w:b/>
          <w:bCs/>
          <w:color w:val="C00000"/>
          <w:sz w:val="22"/>
          <w:szCs w:val="22"/>
        </w:rPr>
        <w:t xml:space="preserve"> </w:t>
      </w:r>
    </w:p>
    <w:p w:rsidR="00512770" w:rsidRDefault="00512770" w:rsidP="00512770">
      <w:pPr>
        <w:numPr>
          <w:ilvl w:val="0"/>
          <w:numId w:val="2"/>
        </w:numPr>
        <w:shd w:val="clear" w:color="auto" w:fill="FFFFFF"/>
        <w:spacing w:before="100" w:beforeAutospacing="1" w:after="100" w:afterAutospacing="1"/>
        <w:rPr>
          <w:rFonts w:ascii="Arial" w:eastAsia="Times New Roman" w:hAnsi="Arial" w:cs="Arial"/>
          <w:b/>
          <w:bCs/>
          <w:color w:val="C00000"/>
          <w:sz w:val="22"/>
          <w:szCs w:val="22"/>
        </w:rPr>
      </w:pPr>
      <w:r>
        <w:rPr>
          <w:rFonts w:ascii="Arial" w:eastAsia="Times New Roman" w:hAnsi="Arial" w:cstheme="minorHAnsi"/>
          <w:b/>
          <w:color w:val="C00000"/>
          <w:sz w:val="22"/>
        </w:rPr>
        <w:t>Black dot in a white square – focus on the positives</w:t>
      </w:r>
      <w:r>
        <w:rPr>
          <w:rFonts w:eastAsia="Times New Roman"/>
          <w:b/>
          <w:bCs/>
          <w:color w:val="C00000"/>
          <w:sz w:val="22"/>
          <w:szCs w:val="22"/>
        </w:rPr>
        <w:t xml:space="preserve"> </w:t>
      </w:r>
    </w:p>
    <w:p w:rsidR="00512770" w:rsidRDefault="00512770" w:rsidP="00512770">
      <w:pPr>
        <w:numPr>
          <w:ilvl w:val="0"/>
          <w:numId w:val="2"/>
        </w:numPr>
        <w:shd w:val="clear" w:color="auto" w:fill="FFFFFF"/>
        <w:spacing w:before="100" w:beforeAutospacing="1" w:after="100" w:afterAutospacing="1"/>
        <w:rPr>
          <w:rFonts w:ascii="Arial" w:eastAsia="Times New Roman" w:hAnsi="Arial" w:cs="Arial"/>
          <w:b/>
          <w:bCs/>
          <w:color w:val="C00000"/>
          <w:sz w:val="22"/>
          <w:szCs w:val="22"/>
        </w:rPr>
      </w:pPr>
      <w:r>
        <w:rPr>
          <w:rFonts w:ascii="Arial" w:eastAsia="Times New Roman" w:hAnsi="Arial" w:cstheme="minorHAnsi"/>
          <w:b/>
          <w:color w:val="C00000"/>
          <w:sz w:val="22"/>
        </w:rPr>
        <w:t>We Are Reading! – offer lots of opportunities for students to read</w:t>
      </w:r>
      <w:r>
        <w:rPr>
          <w:rFonts w:eastAsia="Times New Roman"/>
          <w:b/>
          <w:bCs/>
          <w:color w:val="C00000"/>
          <w:sz w:val="22"/>
          <w:szCs w:val="22"/>
        </w:rPr>
        <w:t xml:space="preserve"> </w:t>
      </w:r>
    </w:p>
    <w:p w:rsidR="00512770" w:rsidRDefault="00512770" w:rsidP="00512770">
      <w:pPr>
        <w:numPr>
          <w:ilvl w:val="0"/>
          <w:numId w:val="2"/>
        </w:numPr>
        <w:shd w:val="clear" w:color="auto" w:fill="FFFFFF"/>
        <w:spacing w:before="100" w:beforeAutospacing="1" w:after="100" w:afterAutospacing="1"/>
        <w:rPr>
          <w:rFonts w:ascii="Arial" w:eastAsia="Times New Roman" w:hAnsi="Arial" w:cs="Arial"/>
          <w:b/>
          <w:bCs/>
          <w:color w:val="C00000"/>
          <w:sz w:val="22"/>
          <w:szCs w:val="22"/>
        </w:rPr>
      </w:pPr>
      <w:r>
        <w:rPr>
          <w:rFonts w:ascii="Arial" w:eastAsia="Times New Roman" w:hAnsi="Arial" w:cstheme="minorHAnsi"/>
          <w:b/>
          <w:bCs/>
          <w:color w:val="C00000"/>
          <w:sz w:val="22"/>
          <w:shd w:val="clear" w:color="auto" w:fill="FFFFFF"/>
        </w:rPr>
        <w:t>Show the and in stages…think out loud</w:t>
      </w:r>
      <w:r>
        <w:rPr>
          <w:rFonts w:eastAsia="Times New Roman"/>
          <w:b/>
          <w:bCs/>
          <w:color w:val="C00000"/>
          <w:sz w:val="22"/>
          <w:szCs w:val="22"/>
        </w:rPr>
        <w:t xml:space="preserve"> </w:t>
      </w:r>
    </w:p>
    <w:p w:rsidR="00512770" w:rsidRDefault="00512770" w:rsidP="00512770">
      <w:pPr>
        <w:numPr>
          <w:ilvl w:val="0"/>
          <w:numId w:val="2"/>
        </w:numPr>
        <w:shd w:val="clear" w:color="auto" w:fill="FFFFFF"/>
        <w:spacing w:before="100" w:beforeAutospacing="1" w:after="100" w:afterAutospacing="1"/>
        <w:rPr>
          <w:rFonts w:ascii="Arial" w:eastAsia="Times New Roman" w:hAnsi="Arial" w:cs="Arial"/>
          <w:b/>
          <w:bCs/>
          <w:color w:val="C00000"/>
          <w:sz w:val="22"/>
          <w:szCs w:val="22"/>
        </w:rPr>
      </w:pPr>
      <w:r>
        <w:rPr>
          <w:rFonts w:ascii="Arial" w:eastAsia="Times New Roman" w:hAnsi="Arial" w:cstheme="minorHAnsi"/>
          <w:b/>
          <w:bCs/>
          <w:color w:val="C00000"/>
          <w:sz w:val="22"/>
          <w:shd w:val="clear" w:color="auto" w:fill="FFFFFF"/>
        </w:rPr>
        <w:t>Verbal Feedback</w:t>
      </w:r>
      <w:r>
        <w:rPr>
          <w:rFonts w:eastAsia="Times New Roman"/>
          <w:b/>
          <w:bCs/>
          <w:color w:val="C00000"/>
          <w:sz w:val="22"/>
          <w:szCs w:val="22"/>
        </w:rPr>
        <w:t xml:space="preserve"> </w:t>
      </w:r>
    </w:p>
    <w:p w:rsidR="00512770" w:rsidRDefault="00512770" w:rsidP="00512770">
      <w:pPr>
        <w:numPr>
          <w:ilvl w:val="0"/>
          <w:numId w:val="2"/>
        </w:numPr>
        <w:shd w:val="clear" w:color="auto" w:fill="FFFFFF"/>
        <w:spacing w:before="100" w:beforeAutospacing="1" w:after="100" w:afterAutospacing="1"/>
        <w:rPr>
          <w:rFonts w:ascii="Arial" w:eastAsia="Times New Roman" w:hAnsi="Arial" w:cs="Arial"/>
          <w:b/>
          <w:bCs/>
          <w:color w:val="C00000"/>
          <w:sz w:val="22"/>
          <w:szCs w:val="22"/>
        </w:rPr>
      </w:pPr>
      <w:r>
        <w:rPr>
          <w:rFonts w:ascii="Arial" w:eastAsia="Times New Roman" w:hAnsi="Arial" w:cstheme="minorHAnsi"/>
          <w:b/>
          <w:bCs/>
          <w:color w:val="C00000"/>
          <w:sz w:val="22"/>
          <w:shd w:val="clear" w:color="auto" w:fill="FFFFFF"/>
        </w:rPr>
        <w:t>Because, but, so – extend sentences and thinking</w:t>
      </w:r>
      <w:r>
        <w:rPr>
          <w:rFonts w:eastAsia="Times New Roman"/>
          <w:b/>
          <w:bCs/>
          <w:color w:val="C00000"/>
          <w:sz w:val="22"/>
          <w:szCs w:val="22"/>
        </w:rPr>
        <w:t xml:space="preserve"> </w:t>
      </w:r>
    </w:p>
    <w:p w:rsidR="00512770" w:rsidRDefault="00512770" w:rsidP="00512770">
      <w:pPr>
        <w:numPr>
          <w:ilvl w:val="0"/>
          <w:numId w:val="2"/>
        </w:numPr>
        <w:shd w:val="clear" w:color="auto" w:fill="FFFFFF"/>
        <w:spacing w:before="100" w:beforeAutospacing="1" w:after="100" w:afterAutospacing="1"/>
        <w:rPr>
          <w:rFonts w:ascii="Arial" w:eastAsia="Times New Roman" w:hAnsi="Arial" w:cs="Arial"/>
          <w:b/>
          <w:bCs/>
          <w:color w:val="C00000"/>
          <w:sz w:val="22"/>
          <w:szCs w:val="22"/>
        </w:rPr>
      </w:pPr>
      <w:r>
        <w:rPr>
          <w:rFonts w:ascii="Arial" w:eastAsia="Times New Roman" w:hAnsi="Arial" w:cstheme="minorHAnsi"/>
          <w:b/>
          <w:bCs/>
          <w:color w:val="C00000"/>
          <w:sz w:val="22"/>
          <w:shd w:val="clear" w:color="auto" w:fill="FFFFFF"/>
        </w:rPr>
        <w:t>PIE FACES – Features of good writing</w:t>
      </w:r>
      <w:r>
        <w:rPr>
          <w:rFonts w:eastAsia="Times New Roman"/>
          <w:b/>
          <w:bCs/>
          <w:color w:val="C00000"/>
          <w:sz w:val="22"/>
          <w:szCs w:val="22"/>
        </w:rPr>
        <w:t xml:space="preserve"> </w:t>
      </w:r>
    </w:p>
    <w:p w:rsidR="00512770" w:rsidRDefault="00512770" w:rsidP="00512770">
      <w:pPr>
        <w:numPr>
          <w:ilvl w:val="0"/>
          <w:numId w:val="2"/>
        </w:numPr>
        <w:shd w:val="clear" w:color="auto" w:fill="FFFFFF"/>
        <w:spacing w:before="100" w:beforeAutospacing="1" w:after="100" w:afterAutospacing="1"/>
        <w:rPr>
          <w:rFonts w:ascii="Arial" w:eastAsia="Times New Roman" w:hAnsi="Arial" w:cs="Arial"/>
          <w:b/>
          <w:bCs/>
          <w:color w:val="C00000"/>
          <w:sz w:val="22"/>
          <w:szCs w:val="22"/>
        </w:rPr>
      </w:pPr>
      <w:r>
        <w:rPr>
          <w:rFonts w:ascii="Arial" w:eastAsia="Times New Roman" w:hAnsi="Arial" w:cstheme="minorHAnsi"/>
          <w:b/>
          <w:bCs/>
          <w:color w:val="C00000"/>
          <w:sz w:val="22"/>
          <w:shd w:val="clear" w:color="auto" w:fill="FFFFFF"/>
        </w:rPr>
        <w:t xml:space="preserve"> ‘Just a Minute’ and ‘Exam Wrappers’</w:t>
      </w:r>
      <w:r>
        <w:rPr>
          <w:rFonts w:eastAsia="Times New Roman"/>
          <w:b/>
          <w:bCs/>
          <w:color w:val="C00000"/>
          <w:sz w:val="22"/>
          <w:szCs w:val="22"/>
        </w:rPr>
        <w:t xml:space="preserve"> </w:t>
      </w:r>
    </w:p>
    <w:p w:rsidR="00512770" w:rsidRDefault="00512770" w:rsidP="00512770">
      <w:pPr>
        <w:numPr>
          <w:ilvl w:val="0"/>
          <w:numId w:val="2"/>
        </w:numPr>
        <w:shd w:val="clear" w:color="auto" w:fill="FFFFFF"/>
        <w:spacing w:before="100" w:beforeAutospacing="1" w:after="100" w:afterAutospacing="1"/>
        <w:rPr>
          <w:rFonts w:ascii="Arial" w:eastAsia="Times New Roman" w:hAnsi="Arial" w:cs="Arial"/>
          <w:b/>
          <w:bCs/>
          <w:color w:val="C00000"/>
          <w:sz w:val="22"/>
          <w:szCs w:val="22"/>
        </w:rPr>
      </w:pPr>
      <w:r>
        <w:rPr>
          <w:rFonts w:ascii="Arial" w:eastAsia="Times New Roman" w:hAnsi="Arial" w:cstheme="minorHAnsi"/>
          <w:b/>
          <w:bCs/>
          <w:color w:val="C00000"/>
          <w:sz w:val="22"/>
          <w:shd w:val="clear" w:color="auto" w:fill="FFFFFF"/>
        </w:rPr>
        <w:t>Retrieval Practice – questions from last lesson, last week and last term</w:t>
      </w:r>
      <w:r>
        <w:rPr>
          <w:rFonts w:eastAsia="Times New Roman"/>
          <w:b/>
          <w:bCs/>
          <w:color w:val="C00000"/>
          <w:sz w:val="22"/>
          <w:szCs w:val="22"/>
        </w:rPr>
        <w:t xml:space="preserve"> </w:t>
      </w:r>
    </w:p>
    <w:p w:rsidR="00512770" w:rsidRDefault="00512770" w:rsidP="00512770">
      <w:pPr>
        <w:numPr>
          <w:ilvl w:val="0"/>
          <w:numId w:val="2"/>
        </w:numPr>
        <w:shd w:val="clear" w:color="auto" w:fill="FFFFFF"/>
        <w:spacing w:before="100" w:beforeAutospacing="1" w:after="100" w:afterAutospacing="1"/>
        <w:rPr>
          <w:rFonts w:ascii="Arial" w:eastAsia="Times New Roman" w:hAnsi="Arial" w:cs="Arial"/>
          <w:b/>
          <w:bCs/>
          <w:color w:val="C00000"/>
          <w:sz w:val="22"/>
          <w:szCs w:val="22"/>
        </w:rPr>
      </w:pPr>
      <w:r>
        <w:rPr>
          <w:rFonts w:ascii="Arial" w:eastAsia="Times New Roman" w:hAnsi="Arial" w:cstheme="minorHAnsi"/>
          <w:b/>
          <w:bCs/>
          <w:color w:val="C00000"/>
          <w:sz w:val="22"/>
          <w:shd w:val="clear" w:color="auto" w:fill="FFFFFF"/>
        </w:rPr>
        <w:t>The ‘BIG Question’</w:t>
      </w:r>
      <w:r>
        <w:rPr>
          <w:rFonts w:eastAsia="Times New Roman"/>
          <w:b/>
          <w:bCs/>
          <w:color w:val="C00000"/>
          <w:sz w:val="22"/>
          <w:szCs w:val="22"/>
        </w:rPr>
        <w:t xml:space="preserve"> </w:t>
      </w:r>
    </w:p>
    <w:p w:rsidR="00512770" w:rsidRDefault="00512770" w:rsidP="00512770">
      <w:pPr>
        <w:numPr>
          <w:ilvl w:val="0"/>
          <w:numId w:val="2"/>
        </w:numPr>
        <w:shd w:val="clear" w:color="auto" w:fill="FFFFFF"/>
        <w:spacing w:before="100" w:beforeAutospacing="1" w:after="100" w:afterAutospacing="1"/>
        <w:rPr>
          <w:rFonts w:ascii="Arial" w:eastAsia="Times New Roman" w:hAnsi="Arial" w:cs="Arial"/>
          <w:b/>
          <w:bCs/>
          <w:color w:val="C00000"/>
          <w:sz w:val="22"/>
          <w:szCs w:val="22"/>
        </w:rPr>
      </w:pPr>
      <w:r>
        <w:rPr>
          <w:rFonts w:ascii="Arial" w:eastAsia="Times New Roman" w:hAnsi="Arial" w:cstheme="minorHAnsi"/>
          <w:b/>
          <w:bCs/>
          <w:color w:val="C00000"/>
          <w:sz w:val="22"/>
          <w:shd w:val="clear" w:color="auto" w:fill="FFFFFF"/>
        </w:rPr>
        <w:t>3B4ME – promoting independence</w:t>
      </w:r>
      <w:r>
        <w:rPr>
          <w:rFonts w:eastAsia="Times New Roman"/>
          <w:b/>
          <w:bCs/>
          <w:color w:val="C00000"/>
          <w:sz w:val="22"/>
          <w:szCs w:val="22"/>
        </w:rPr>
        <w:t xml:space="preserve"> </w:t>
      </w:r>
    </w:p>
    <w:p w:rsidR="00512770" w:rsidRDefault="00512770" w:rsidP="00512770">
      <w:pPr>
        <w:numPr>
          <w:ilvl w:val="0"/>
          <w:numId w:val="2"/>
        </w:numPr>
        <w:shd w:val="clear" w:color="auto" w:fill="FFFFFF"/>
        <w:spacing w:before="100" w:beforeAutospacing="1" w:after="100" w:afterAutospacing="1"/>
        <w:rPr>
          <w:rFonts w:ascii="Arial" w:eastAsia="Times New Roman" w:hAnsi="Arial" w:cs="Arial"/>
          <w:b/>
          <w:bCs/>
          <w:color w:val="C00000"/>
          <w:sz w:val="22"/>
          <w:szCs w:val="22"/>
        </w:rPr>
      </w:pPr>
      <w:r>
        <w:rPr>
          <w:rFonts w:ascii="Arial" w:eastAsia="Times New Roman" w:hAnsi="Arial" w:cstheme="minorHAnsi"/>
          <w:b/>
          <w:bCs/>
          <w:color w:val="C00000"/>
          <w:sz w:val="22"/>
          <w:shd w:val="clear" w:color="auto" w:fill="FFFFFF"/>
        </w:rPr>
        <w:t>WAGOLLs (what a good one looks like – use of model work)</w:t>
      </w:r>
      <w:r>
        <w:rPr>
          <w:rFonts w:eastAsia="Times New Roman"/>
          <w:b/>
          <w:bCs/>
          <w:color w:val="C00000"/>
          <w:sz w:val="22"/>
          <w:szCs w:val="22"/>
        </w:rPr>
        <w:t xml:space="preserve"> </w:t>
      </w:r>
    </w:p>
    <w:p w:rsidR="00512770" w:rsidRDefault="00512770" w:rsidP="00512770">
      <w:pPr>
        <w:numPr>
          <w:ilvl w:val="0"/>
          <w:numId w:val="2"/>
        </w:numPr>
        <w:shd w:val="clear" w:color="auto" w:fill="FFFFFF"/>
        <w:spacing w:before="100" w:beforeAutospacing="1" w:after="100" w:afterAutospacing="1"/>
        <w:rPr>
          <w:rFonts w:ascii="Arial" w:eastAsia="Times New Roman" w:hAnsi="Arial" w:cs="Arial"/>
          <w:b/>
          <w:bCs/>
          <w:color w:val="C00000"/>
          <w:sz w:val="22"/>
          <w:szCs w:val="22"/>
        </w:rPr>
      </w:pPr>
      <w:r>
        <w:rPr>
          <w:rFonts w:ascii="Arial" w:eastAsia="Times New Roman" w:hAnsi="Arial" w:cstheme="minorHAnsi"/>
          <w:b/>
          <w:bCs/>
          <w:color w:val="C00000"/>
          <w:sz w:val="22"/>
          <w:shd w:val="clear" w:color="auto" w:fill="FFFFFF"/>
        </w:rPr>
        <w:t>Pose, Pause, Pounce and Bounce</w:t>
      </w:r>
      <w:r>
        <w:rPr>
          <w:rFonts w:eastAsia="Times New Roman"/>
          <w:b/>
          <w:bCs/>
          <w:color w:val="C00000"/>
          <w:sz w:val="22"/>
          <w:szCs w:val="22"/>
        </w:rPr>
        <w:t xml:space="preserve"> </w:t>
      </w:r>
    </w:p>
    <w:p w:rsidR="00512770" w:rsidRDefault="00512770" w:rsidP="00512770">
      <w:pPr>
        <w:numPr>
          <w:ilvl w:val="0"/>
          <w:numId w:val="2"/>
        </w:numPr>
        <w:shd w:val="clear" w:color="auto" w:fill="FFFFFF"/>
        <w:spacing w:before="100" w:beforeAutospacing="1" w:after="100" w:afterAutospacing="1"/>
        <w:rPr>
          <w:rFonts w:ascii="Arial" w:eastAsia="Times New Roman" w:hAnsi="Arial" w:cs="Arial"/>
          <w:b/>
          <w:bCs/>
          <w:color w:val="C00000"/>
          <w:sz w:val="22"/>
          <w:szCs w:val="22"/>
        </w:rPr>
      </w:pPr>
      <w:r>
        <w:rPr>
          <w:rFonts w:ascii="Arial" w:eastAsia="Times New Roman" w:hAnsi="Arial" w:cstheme="minorHAnsi"/>
          <w:b/>
          <w:bCs/>
          <w:color w:val="C00000"/>
          <w:sz w:val="22"/>
          <w:shd w:val="clear" w:color="auto" w:fill="FFFFFF"/>
        </w:rPr>
        <w:t>Reading for understanding – mini-whiteboards, quick quizzes, verbal questioning, think-pair-share etc.</w:t>
      </w:r>
      <w:r>
        <w:rPr>
          <w:rFonts w:eastAsia="Times New Roman"/>
          <w:b/>
          <w:bCs/>
          <w:color w:val="C00000"/>
          <w:sz w:val="22"/>
          <w:szCs w:val="22"/>
        </w:rPr>
        <w:t xml:space="preserve"> </w:t>
      </w:r>
    </w:p>
    <w:p w:rsidR="00512770" w:rsidRDefault="00512770" w:rsidP="00512770">
      <w:pPr>
        <w:pStyle w:val="NormalWeb"/>
        <w:shd w:val="clear" w:color="auto" w:fill="FFFFFF"/>
        <w:rPr>
          <w:rFonts w:ascii="Arial" w:hAnsi="Arial" w:cs="Arial"/>
          <w:color w:val="000000"/>
        </w:rPr>
      </w:pPr>
      <w:r>
        <w:rPr>
          <w:rFonts w:ascii="Calibri" w:eastAsia="Times New Roman" w:hAnsi="Calibri" w:cs="Calibri"/>
          <w:b/>
          <w:bCs/>
          <w:color w:val="7030A0"/>
          <w:u w:val="single"/>
          <w:shd w:val="clear" w:color="auto" w:fill="FFFFFF"/>
        </w:rPr>
        <w:t>Top Tips in Two this Half-Term</w:t>
      </w:r>
    </w:p>
    <w:p w:rsidR="00512770" w:rsidRDefault="00512770" w:rsidP="00512770">
      <w:pPr>
        <w:numPr>
          <w:ilvl w:val="0"/>
          <w:numId w:val="3"/>
        </w:num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theme="minorHAnsi"/>
          <w:strike/>
          <w:color w:val="7030A0"/>
          <w:sz w:val="22"/>
          <w:szCs w:val="22"/>
        </w:rPr>
        <w:t>Monday 4</w:t>
      </w:r>
      <w:r>
        <w:rPr>
          <w:rFonts w:ascii="Arial" w:eastAsia="Times New Roman" w:hAnsi="Arial" w:cstheme="minorHAnsi"/>
          <w:strike/>
          <w:color w:val="7030A0"/>
          <w:sz w:val="22"/>
          <w:szCs w:val="22"/>
          <w:vertAlign w:val="superscript"/>
        </w:rPr>
        <w:t>th</w:t>
      </w:r>
      <w:r>
        <w:rPr>
          <w:rFonts w:ascii="Arial" w:eastAsia="Times New Roman" w:hAnsi="Arial" w:cstheme="minorHAnsi"/>
          <w:strike/>
          <w:color w:val="7030A0"/>
          <w:sz w:val="22"/>
          <w:szCs w:val="22"/>
        </w:rPr>
        <w:t xml:space="preserve"> June – A. Sam </w:t>
      </w:r>
      <w:r>
        <w:rPr>
          <w:rFonts w:ascii="Bradley Hand ITC" w:eastAsia="Times New Roman" w:hAnsi="Bradley Hand ITC" w:cstheme="minorHAnsi"/>
          <w:color w:val="FF0000"/>
          <w:sz w:val="22"/>
          <w:szCs w:val="22"/>
          <w:shd w:val="clear" w:color="auto" w:fill="FFFFFF"/>
        </w:rPr>
        <w:t>Many thanks!</w:t>
      </w:r>
      <w:r>
        <w:rPr>
          <w:rFonts w:eastAsia="Times New Roman"/>
          <w:color w:val="000000"/>
          <w:sz w:val="22"/>
          <w:szCs w:val="22"/>
        </w:rPr>
        <w:t xml:space="preserve"> </w:t>
      </w:r>
    </w:p>
    <w:p w:rsidR="00512770" w:rsidRDefault="00512770" w:rsidP="00512770">
      <w:pPr>
        <w:numPr>
          <w:ilvl w:val="0"/>
          <w:numId w:val="3"/>
        </w:numPr>
        <w:shd w:val="clear" w:color="auto" w:fill="FFFFFF"/>
        <w:spacing w:before="100" w:beforeAutospacing="1" w:after="100" w:afterAutospacing="1"/>
        <w:rPr>
          <w:rFonts w:ascii="Arial" w:eastAsia="Times New Roman" w:hAnsi="Arial" w:cs="Arial"/>
          <w:color w:val="000000"/>
          <w:sz w:val="22"/>
          <w:szCs w:val="22"/>
        </w:rPr>
      </w:pPr>
      <w:r>
        <w:rPr>
          <w:rFonts w:ascii="Arial" w:eastAsia="Times New Roman" w:hAnsi="Arial" w:cstheme="minorHAnsi"/>
          <w:strike/>
          <w:color w:val="7030A0"/>
          <w:sz w:val="22"/>
          <w:szCs w:val="22"/>
        </w:rPr>
        <w:t>Friday 15</w:t>
      </w:r>
      <w:r>
        <w:rPr>
          <w:rFonts w:ascii="Arial" w:eastAsia="Times New Roman" w:hAnsi="Arial" w:cstheme="minorHAnsi"/>
          <w:strike/>
          <w:color w:val="7030A0"/>
          <w:sz w:val="22"/>
          <w:szCs w:val="22"/>
          <w:vertAlign w:val="superscript"/>
        </w:rPr>
        <w:t>th</w:t>
      </w:r>
      <w:r>
        <w:rPr>
          <w:rFonts w:ascii="Arial" w:eastAsia="Times New Roman" w:hAnsi="Arial" w:cstheme="minorHAnsi"/>
          <w:strike/>
          <w:color w:val="7030A0"/>
          <w:sz w:val="22"/>
          <w:szCs w:val="22"/>
        </w:rPr>
        <w:t xml:space="preserve"> June – A. Lyons </w:t>
      </w:r>
      <w:r>
        <w:rPr>
          <w:rFonts w:ascii="Bradley Hand ITC" w:eastAsia="Times New Roman" w:hAnsi="Bradley Hand ITC" w:cstheme="minorHAnsi"/>
          <w:color w:val="FF0000"/>
          <w:sz w:val="22"/>
          <w:szCs w:val="22"/>
          <w:shd w:val="clear" w:color="auto" w:fill="FFFFFF"/>
        </w:rPr>
        <w:t>Many thanks!</w:t>
      </w:r>
      <w:r>
        <w:rPr>
          <w:rFonts w:eastAsia="Times New Roman"/>
          <w:color w:val="000000"/>
          <w:sz w:val="22"/>
          <w:szCs w:val="22"/>
        </w:rPr>
        <w:t xml:space="preserve"> </w:t>
      </w:r>
    </w:p>
    <w:p w:rsidR="00512770" w:rsidRDefault="00512770" w:rsidP="00512770">
      <w:pPr>
        <w:numPr>
          <w:ilvl w:val="0"/>
          <w:numId w:val="3"/>
        </w:numPr>
        <w:shd w:val="clear" w:color="auto" w:fill="FFFFFF"/>
        <w:spacing w:before="100" w:beforeAutospacing="1" w:after="100" w:afterAutospacing="1"/>
        <w:rPr>
          <w:rFonts w:ascii="Arial" w:eastAsia="Times New Roman" w:hAnsi="Arial" w:cs="Arial"/>
          <w:color w:val="7030A0"/>
          <w:sz w:val="22"/>
          <w:szCs w:val="22"/>
        </w:rPr>
      </w:pPr>
      <w:r>
        <w:rPr>
          <w:rFonts w:ascii="Arial" w:eastAsia="Times New Roman" w:hAnsi="Arial" w:cstheme="minorHAnsi"/>
          <w:color w:val="7030A0"/>
          <w:sz w:val="22"/>
          <w:szCs w:val="22"/>
        </w:rPr>
        <w:t>Wednesday 27</w:t>
      </w:r>
      <w:r>
        <w:rPr>
          <w:rFonts w:ascii="Arial" w:eastAsia="Times New Roman" w:hAnsi="Arial" w:cstheme="minorHAnsi"/>
          <w:color w:val="7030A0"/>
          <w:sz w:val="22"/>
          <w:szCs w:val="22"/>
          <w:vertAlign w:val="superscript"/>
        </w:rPr>
        <w:t>th</w:t>
      </w:r>
      <w:r>
        <w:rPr>
          <w:rFonts w:ascii="Arial" w:eastAsia="Times New Roman" w:hAnsi="Arial" w:cstheme="minorHAnsi"/>
          <w:color w:val="7030A0"/>
          <w:sz w:val="22"/>
          <w:szCs w:val="22"/>
        </w:rPr>
        <w:t xml:space="preserve"> June – E. Hand and S. Allen</w:t>
      </w:r>
      <w:r>
        <w:rPr>
          <w:rFonts w:eastAsia="Times New Roman"/>
          <w:color w:val="7030A0"/>
          <w:sz w:val="22"/>
          <w:szCs w:val="22"/>
        </w:rPr>
        <w:t xml:space="preserve"> </w:t>
      </w:r>
    </w:p>
    <w:p w:rsidR="00512770" w:rsidRDefault="00512770" w:rsidP="00512770">
      <w:pPr>
        <w:numPr>
          <w:ilvl w:val="0"/>
          <w:numId w:val="3"/>
        </w:numPr>
        <w:shd w:val="clear" w:color="auto" w:fill="FFFFFF"/>
        <w:spacing w:before="100" w:beforeAutospacing="1" w:after="100" w:afterAutospacing="1"/>
        <w:rPr>
          <w:rFonts w:ascii="Arial" w:eastAsia="Times New Roman" w:hAnsi="Arial" w:cs="Arial"/>
          <w:color w:val="7030A0"/>
          <w:sz w:val="22"/>
          <w:szCs w:val="22"/>
        </w:rPr>
      </w:pPr>
      <w:r>
        <w:rPr>
          <w:rFonts w:ascii="Arial" w:eastAsia="Times New Roman" w:hAnsi="Arial" w:cstheme="minorHAnsi"/>
          <w:color w:val="7030A0"/>
          <w:sz w:val="22"/>
          <w:szCs w:val="22"/>
        </w:rPr>
        <w:t>Wednesday 11</w:t>
      </w:r>
      <w:r>
        <w:rPr>
          <w:rFonts w:ascii="Arial" w:eastAsia="Times New Roman" w:hAnsi="Arial" w:cstheme="minorHAnsi"/>
          <w:color w:val="7030A0"/>
          <w:sz w:val="22"/>
          <w:szCs w:val="22"/>
          <w:vertAlign w:val="superscript"/>
        </w:rPr>
        <w:t>th</w:t>
      </w:r>
      <w:r>
        <w:rPr>
          <w:rFonts w:ascii="Arial" w:eastAsia="Times New Roman" w:hAnsi="Arial" w:cstheme="minorHAnsi"/>
          <w:color w:val="7030A0"/>
          <w:sz w:val="22"/>
          <w:szCs w:val="22"/>
        </w:rPr>
        <w:t xml:space="preserve"> July – J. Mayor (rearranged)</w:t>
      </w:r>
      <w:r>
        <w:rPr>
          <w:rFonts w:eastAsia="Times New Roman"/>
          <w:color w:val="7030A0"/>
          <w:sz w:val="22"/>
          <w:szCs w:val="22"/>
        </w:rPr>
        <w:t xml:space="preserve"> </w:t>
      </w:r>
    </w:p>
    <w:p w:rsidR="001B139B" w:rsidRDefault="001B139B" w:rsidP="00512770">
      <w:pPr>
        <w:ind w:left="360"/>
      </w:pPr>
      <w:bookmarkStart w:id="0" w:name="_GoBack"/>
      <w:bookmarkEnd w:id="0"/>
    </w:p>
    <w:sectPr w:rsidR="001B1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36E39"/>
    <w:multiLevelType w:val="multilevel"/>
    <w:tmpl w:val="C4ACAB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F41E7F"/>
    <w:multiLevelType w:val="multilevel"/>
    <w:tmpl w:val="6AAA9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095156"/>
    <w:multiLevelType w:val="multilevel"/>
    <w:tmpl w:val="3A5C23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70"/>
    <w:rsid w:val="001B139B"/>
    <w:rsid w:val="00512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FE63"/>
  <w15:chartTrackingRefBased/>
  <w15:docId w15:val="{8D235672-685F-4C62-9370-976E30BB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77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2770"/>
    <w:rPr>
      <w:color w:val="0000FF"/>
      <w:u w:val="single"/>
    </w:rPr>
  </w:style>
  <w:style w:type="paragraph" w:styleId="NormalWeb">
    <w:name w:val="Normal (Web)"/>
    <w:basedOn w:val="Normal"/>
    <w:uiPriority w:val="99"/>
    <w:semiHidden/>
    <w:unhideWhenUsed/>
    <w:rsid w:val="0051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99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confidentteacher.com/category/closing-the-g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404b1426-95ec-4338-b872-6fa40383ac1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1</cp:revision>
  <dcterms:created xsi:type="dcterms:W3CDTF">2018-07-09T06:11:00Z</dcterms:created>
  <dcterms:modified xsi:type="dcterms:W3CDTF">2018-07-09T06:13:00Z</dcterms:modified>
</cp:coreProperties>
</file>