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ED" w:rsidRDefault="00763AED" w:rsidP="00763AED">
      <w:pPr>
        <w:shd w:val="clear" w:color="auto" w:fill="FFFFFF"/>
        <w:spacing w:before="100" w:beforeAutospacing="1"/>
        <w:jc w:val="center"/>
        <w:rPr>
          <w:rFonts w:ascii="Arial" w:hAnsi="Arial" w:cs="Arial"/>
          <w:color w:val="000000"/>
        </w:rPr>
      </w:pPr>
      <w:r>
        <w:rPr>
          <w:rFonts w:ascii="Arial" w:eastAsia="Times New Roman" w:hAnsi="Arial" w:cs="Arial"/>
          <w:b/>
          <w:bCs/>
          <w:color w:val="00B0F0"/>
          <w:sz w:val="28"/>
          <w:szCs w:val="32"/>
          <w:shd w:val="clear" w:color="auto" w:fill="FFFFFF"/>
        </w:rPr>
        <w:t>WLD Teaching and Learning Digest – w/c 17</w:t>
      </w:r>
      <w:r>
        <w:rPr>
          <w:rFonts w:ascii="Arial" w:eastAsia="Times New Roman" w:hAnsi="Arial" w:cs="Arial"/>
          <w:b/>
          <w:bCs/>
          <w:color w:val="00B0F0"/>
          <w:sz w:val="28"/>
          <w:szCs w:val="32"/>
          <w:shd w:val="clear" w:color="auto" w:fill="FFFFFF"/>
          <w:vertAlign w:val="superscript"/>
        </w:rPr>
        <w:t>th</w:t>
      </w:r>
      <w:r>
        <w:rPr>
          <w:rFonts w:ascii="Arial" w:eastAsia="Times New Roman" w:hAnsi="Arial" w:cs="Arial"/>
          <w:b/>
          <w:bCs/>
          <w:color w:val="00B0F0"/>
          <w:sz w:val="28"/>
          <w:szCs w:val="32"/>
          <w:shd w:val="clear" w:color="auto" w:fill="FFFFFF"/>
        </w:rPr>
        <w:t xml:space="preserve"> September 2018</w:t>
      </w:r>
    </w:p>
    <w:p w:rsidR="00763AED" w:rsidRDefault="00763AED" w:rsidP="00763AED">
      <w:pPr>
        <w:shd w:val="clear" w:color="auto" w:fill="FFFFFF"/>
        <w:spacing w:before="100" w:beforeAutospacing="1"/>
        <w:jc w:val="center"/>
        <w:rPr>
          <w:rFonts w:ascii="Arial" w:hAnsi="Arial" w:cs="Arial"/>
          <w:color w:val="000000"/>
        </w:rPr>
      </w:pPr>
      <w:r>
        <w:rPr>
          <w:rFonts w:ascii="Arial" w:eastAsia="Times New Roman" w:hAnsi="Arial" w:cs="Arial"/>
          <w:color w:val="000000"/>
          <w:shd w:val="clear" w:color="auto" w:fill="FFFFFF"/>
        </w:rPr>
        <w:t> </w:t>
      </w:r>
    </w:p>
    <w:p w:rsidR="00763AED" w:rsidRDefault="00763AED" w:rsidP="00763AED">
      <w:pPr>
        <w:shd w:val="clear" w:color="auto" w:fill="FFFFFF"/>
        <w:spacing w:before="100" w:beforeAutospacing="1"/>
        <w:jc w:val="center"/>
        <w:rPr>
          <w:rFonts w:ascii="Arial" w:hAnsi="Arial" w:cs="Arial"/>
          <w:color w:val="000000"/>
        </w:rPr>
      </w:pPr>
      <w:r>
        <w:rPr>
          <w:rFonts w:ascii="Arial" w:eastAsia="Times New Roman" w:hAnsi="Arial" w:cs="Arial"/>
          <w:color w:val="000000"/>
          <w:shd w:val="clear" w:color="auto" w:fill="FFFFFF"/>
        </w:rPr>
        <w:t> </w:t>
      </w:r>
    </w:p>
    <w:tbl>
      <w:tblPr>
        <w:tblW w:w="0" w:type="auto"/>
        <w:jc w:val="center"/>
        <w:shd w:val="clear" w:color="auto" w:fill="F7CAAC"/>
        <w:tblCellMar>
          <w:left w:w="0" w:type="dxa"/>
          <w:right w:w="0" w:type="dxa"/>
        </w:tblCellMar>
        <w:tblLook w:val="04A0" w:firstRow="1" w:lastRow="0" w:firstColumn="1" w:lastColumn="0" w:noHBand="0" w:noVBand="1"/>
      </w:tblPr>
      <w:tblGrid>
        <w:gridCol w:w="4810"/>
        <w:gridCol w:w="3846"/>
      </w:tblGrid>
      <w:tr w:rsidR="00763AED" w:rsidTr="00763AED">
        <w:trPr>
          <w:jc w:val="center"/>
        </w:trPr>
        <w:tc>
          <w:tcPr>
            <w:tcW w:w="4810" w:type="dxa"/>
            <w:tcBorders>
              <w:top w:val="single" w:sz="8" w:space="0" w:color="FFFFFF"/>
              <w:left w:val="single" w:sz="8" w:space="0" w:color="FFFFFF"/>
              <w:bottom w:val="single" w:sz="8" w:space="0" w:color="FFFFFF"/>
              <w:right w:val="single" w:sz="8" w:space="0" w:color="FFFFFF"/>
            </w:tcBorders>
            <w:shd w:val="clear" w:color="auto" w:fill="F7CAAC"/>
            <w:tcMar>
              <w:top w:w="0" w:type="dxa"/>
              <w:left w:w="108" w:type="dxa"/>
              <w:bottom w:w="0" w:type="dxa"/>
              <w:right w:w="108" w:type="dxa"/>
            </w:tcMar>
            <w:hideMark/>
          </w:tcPr>
          <w:p w:rsidR="00763AED" w:rsidRDefault="00763AED">
            <w:pPr>
              <w:spacing w:before="100" w:beforeAutospacing="1"/>
              <w:jc w:val="center"/>
            </w:pPr>
            <w:r>
              <w:rPr>
                <w:rFonts w:eastAsia="Times New Roman" w:cstheme="minorHAnsi"/>
                <w:b/>
                <w:bCs/>
                <w:color w:val="0070C0"/>
                <w:szCs w:val="20"/>
                <w:u w:val="single"/>
              </w:rPr>
              <w:t>COMMUNICATION FOCUSES</w:t>
            </w:r>
          </w:p>
          <w:p w:rsidR="00763AED" w:rsidRDefault="00763AED">
            <w:pPr>
              <w:spacing w:before="100" w:beforeAutospacing="1"/>
              <w:jc w:val="center"/>
            </w:pPr>
            <w:r>
              <w:rPr>
                <w:rFonts w:eastAsia="Times New Roman" w:cstheme="minorHAnsi"/>
              </w:rPr>
              <w:t> </w:t>
            </w:r>
          </w:p>
          <w:p w:rsidR="00763AED" w:rsidRDefault="00763AED">
            <w:pPr>
              <w:spacing w:before="100" w:beforeAutospacing="1"/>
              <w:jc w:val="center"/>
            </w:pPr>
            <w:r>
              <w:rPr>
                <w:rFonts w:eastAsia="Times New Roman" w:cstheme="minorHAnsi"/>
                <w:color w:val="0070C0"/>
                <w:szCs w:val="20"/>
              </w:rPr>
              <w:t>Embed the literacy marking policy – ensure students are familiar with codes (printed in student and staff planners)</w:t>
            </w:r>
          </w:p>
        </w:tc>
        <w:tc>
          <w:tcPr>
            <w:tcW w:w="3846" w:type="dxa"/>
            <w:tcBorders>
              <w:top w:val="single" w:sz="8" w:space="0" w:color="FFFFFF"/>
              <w:left w:val="nil"/>
              <w:bottom w:val="single" w:sz="8" w:space="0" w:color="FFFFFF"/>
              <w:right w:val="single" w:sz="8" w:space="0" w:color="FFFFFF"/>
            </w:tcBorders>
            <w:shd w:val="clear" w:color="auto" w:fill="F7CAAC"/>
            <w:tcMar>
              <w:top w:w="0" w:type="dxa"/>
              <w:left w:w="108" w:type="dxa"/>
              <w:bottom w:w="0" w:type="dxa"/>
              <w:right w:w="108" w:type="dxa"/>
            </w:tcMar>
            <w:hideMark/>
          </w:tcPr>
          <w:p w:rsidR="00763AED" w:rsidRDefault="00763AED">
            <w:pPr>
              <w:spacing w:before="100" w:beforeAutospacing="1"/>
              <w:jc w:val="center"/>
            </w:pPr>
            <w:r>
              <w:rPr>
                <w:rFonts w:eastAsia="Times New Roman" w:cstheme="minorHAnsi"/>
                <w:b/>
                <w:bCs/>
                <w:color w:val="0070C0"/>
                <w:szCs w:val="20"/>
                <w:u w:val="single"/>
              </w:rPr>
              <w:t>INCLUSION FOR ALL</w:t>
            </w:r>
          </w:p>
          <w:p w:rsidR="00763AED" w:rsidRDefault="00763AED">
            <w:pPr>
              <w:spacing w:before="100" w:beforeAutospacing="1"/>
            </w:pPr>
            <w:r>
              <w:rPr>
                <w:rFonts w:eastAsia="Times New Roman" w:cstheme="minorHAnsi"/>
                <w:color w:val="0070C0"/>
                <w:szCs w:val="20"/>
              </w:rPr>
              <w:t> </w:t>
            </w:r>
          </w:p>
          <w:p w:rsidR="00763AED" w:rsidRDefault="00763AED">
            <w:pPr>
              <w:spacing w:before="100" w:beforeAutospacing="1"/>
              <w:jc w:val="center"/>
            </w:pPr>
            <w:r>
              <w:rPr>
                <w:rFonts w:eastAsia="Times New Roman" w:cstheme="minorHAnsi"/>
                <w:color w:val="0070C0"/>
              </w:rPr>
              <w:t xml:space="preserve">Stick to the clear boundaries and high expectations that you have set over the last two weeks. </w:t>
            </w:r>
          </w:p>
        </w:tc>
      </w:tr>
    </w:tbl>
    <w:p w:rsidR="00763AED" w:rsidRDefault="00763AED" w:rsidP="00763AED">
      <w:pPr>
        <w:shd w:val="clear" w:color="auto" w:fill="FFFFFF"/>
        <w:spacing w:before="100" w:beforeAutospacing="1"/>
        <w:rPr>
          <w:rFonts w:ascii="Arial" w:hAnsi="Arial" w:cs="Arial"/>
          <w:color w:val="000000"/>
        </w:rPr>
      </w:pPr>
      <w:r>
        <w:rPr>
          <w:rFonts w:ascii="Arial" w:eastAsia="Times New Roman" w:hAnsi="Arial" w:cs="Arial"/>
          <w:color w:val="000000"/>
          <w:shd w:val="clear" w:color="auto" w:fill="FFFFFF"/>
        </w:rPr>
        <w:t> </w:t>
      </w:r>
    </w:p>
    <w:p w:rsidR="00763AED" w:rsidRDefault="00763AED" w:rsidP="00763AED">
      <w:pPr>
        <w:shd w:val="clear" w:color="auto" w:fill="FFFFFF"/>
        <w:spacing w:before="100" w:beforeAutospacing="1"/>
        <w:rPr>
          <w:rFonts w:ascii="Arial" w:hAnsi="Arial" w:cs="Arial"/>
          <w:color w:val="000000"/>
        </w:rPr>
      </w:pPr>
      <w:r>
        <w:rPr>
          <w:rFonts w:ascii="Arial" w:eastAsia="Times New Roman" w:hAnsi="Arial" w:cstheme="minorHAnsi"/>
          <w:b/>
          <w:bCs/>
          <w:color w:val="C45911"/>
          <w:shd w:val="clear" w:color="auto" w:fill="FFFFFF"/>
        </w:rPr>
        <w:t> </w:t>
      </w:r>
    </w:p>
    <w:p w:rsidR="00763AED" w:rsidRDefault="00763AED" w:rsidP="00763AED">
      <w:pPr>
        <w:shd w:val="clear" w:color="auto" w:fill="FFFFFF"/>
        <w:spacing w:before="100" w:beforeAutospacing="1"/>
        <w:rPr>
          <w:rFonts w:ascii="Arial" w:hAnsi="Arial" w:cs="Arial"/>
          <w:color w:val="000000"/>
        </w:rPr>
      </w:pPr>
      <w:r>
        <w:rPr>
          <w:rFonts w:ascii="Arial" w:eastAsia="Times New Roman" w:hAnsi="Arial" w:cstheme="minorHAnsi"/>
          <w:b/>
          <w:bCs/>
          <w:color w:val="C45911"/>
          <w:u w:val="single"/>
          <w:shd w:val="clear" w:color="auto" w:fill="FFFFFF"/>
        </w:rPr>
        <w:t>This week:</w:t>
      </w:r>
    </w:p>
    <w:p w:rsidR="00763AED" w:rsidRDefault="00763AED" w:rsidP="00763AED">
      <w:pPr>
        <w:numPr>
          <w:ilvl w:val="0"/>
          <w:numId w:val="1"/>
        </w:numPr>
        <w:shd w:val="clear" w:color="auto" w:fill="FFFFFF"/>
        <w:spacing w:before="100" w:beforeAutospacing="1" w:after="100" w:afterAutospacing="1"/>
        <w:jc w:val="both"/>
        <w:rPr>
          <w:rFonts w:ascii="Arial" w:eastAsia="Times New Roman" w:hAnsi="Arial" w:cs="Arial"/>
          <w:color w:val="000000"/>
        </w:rPr>
      </w:pPr>
      <w:r>
        <w:rPr>
          <w:rFonts w:ascii="Calibri" w:eastAsia="Times New Roman" w:hAnsi="Calibri" w:cs="Calibri"/>
          <w:color w:val="D05C12"/>
          <w:shd w:val="clear" w:color="auto" w:fill="FFFFFF"/>
        </w:rPr>
        <w:t>The </w:t>
      </w:r>
      <w:r>
        <w:rPr>
          <w:rFonts w:ascii="Calibri" w:eastAsia="Times New Roman" w:hAnsi="Calibri" w:cs="Calibri"/>
          <w:b/>
          <w:bCs/>
          <w:color w:val="FF0000"/>
          <w:shd w:val="clear" w:color="auto" w:fill="FFFFFF"/>
        </w:rPr>
        <w:t>thought for the week</w:t>
      </w:r>
      <w:r>
        <w:rPr>
          <w:rFonts w:ascii="Calibri" w:eastAsia="Times New Roman" w:hAnsi="Calibri" w:cs="Calibri"/>
          <w:color w:val="D05C12"/>
          <w:shd w:val="clear" w:color="auto" w:fill="FFFFFF"/>
        </w:rPr>
        <w:t> this week is </w:t>
      </w:r>
      <w:r>
        <w:rPr>
          <w:rFonts w:ascii="Calibri" w:eastAsia="Times New Roman" w:hAnsi="Calibri" w:cs="Calibri"/>
          <w:b/>
          <w:bCs/>
          <w:color w:val="D05C12"/>
          <w:shd w:val="clear" w:color="auto" w:fill="FFFFFF"/>
        </w:rPr>
        <w:t xml:space="preserve">‘Kindness and Peace’ </w:t>
      </w:r>
      <w:r>
        <w:rPr>
          <w:rFonts w:ascii="Calibri" w:eastAsia="Times New Roman" w:hAnsi="Calibri" w:cs="Calibri"/>
          <w:color w:val="D05C12"/>
          <w:shd w:val="clear" w:color="auto" w:fill="FFFFFF"/>
        </w:rPr>
        <w:t xml:space="preserve">ahead of International Day of Peace on Friday.  Again, please can I urge you to make use of the materials emailed and in </w:t>
      </w:r>
      <w:proofErr w:type="gramStart"/>
      <w:r>
        <w:rPr>
          <w:rFonts w:ascii="Calibri" w:eastAsia="Times New Roman" w:hAnsi="Calibri" w:cs="Calibri"/>
          <w:color w:val="D05C12"/>
          <w:shd w:val="clear" w:color="auto" w:fill="FFFFFF"/>
        </w:rPr>
        <w:t>registers.</w:t>
      </w:r>
      <w:proofErr w:type="gramEnd"/>
      <w:r>
        <w:rPr>
          <w:rFonts w:ascii="Calibri" w:eastAsia="Times New Roman" w:hAnsi="Calibri" w:cs="Calibri"/>
          <w:color w:val="D05C12"/>
          <w:shd w:val="clear" w:color="auto" w:fill="FFFFFF"/>
        </w:rPr>
        <w:t xml:space="preserve"> </w:t>
      </w:r>
    </w:p>
    <w:p w:rsidR="00763AED" w:rsidRDefault="00763AED" w:rsidP="00763AED">
      <w:pPr>
        <w:numPr>
          <w:ilvl w:val="0"/>
          <w:numId w:val="1"/>
        </w:numPr>
        <w:shd w:val="clear" w:color="auto" w:fill="FFFFFF"/>
        <w:spacing w:before="100" w:beforeAutospacing="1" w:after="100" w:afterAutospacing="1"/>
        <w:jc w:val="both"/>
        <w:rPr>
          <w:rFonts w:ascii="Arial" w:eastAsia="Times New Roman" w:hAnsi="Arial" w:cs="Arial"/>
          <w:color w:val="000000"/>
        </w:rPr>
      </w:pPr>
      <w:r>
        <w:rPr>
          <w:rFonts w:ascii="Calibri" w:eastAsia="Times New Roman" w:hAnsi="Calibri" w:cs="Calibri"/>
          <w:b/>
          <w:color w:val="FF0000"/>
          <w:shd w:val="clear" w:color="auto" w:fill="FFFFFF"/>
        </w:rPr>
        <w:t>New staff and NQTs</w:t>
      </w:r>
      <w:proofErr w:type="gramStart"/>
      <w:r>
        <w:rPr>
          <w:rFonts w:ascii="Calibri" w:eastAsia="Times New Roman" w:hAnsi="Calibri" w:cs="Calibri"/>
          <w:b/>
          <w:color w:val="FF0000"/>
          <w:shd w:val="clear" w:color="auto" w:fill="FFFFFF"/>
        </w:rPr>
        <w:t xml:space="preserve">– </w:t>
      </w:r>
      <w:r>
        <w:rPr>
          <w:rFonts w:ascii="Calibri" w:eastAsia="Times New Roman" w:hAnsi="Calibri" w:cs="Calibri"/>
          <w:color w:val="C45911" w:themeColor="accent2" w:themeShade="BF"/>
          <w:shd w:val="clear" w:color="auto" w:fill="FFFFFF"/>
        </w:rPr>
        <w:t xml:space="preserve"> CPD</w:t>
      </w:r>
      <w:proofErr w:type="gramEnd"/>
      <w:r>
        <w:rPr>
          <w:rFonts w:ascii="Calibri" w:eastAsia="Times New Roman" w:hAnsi="Calibri" w:cs="Calibri"/>
          <w:color w:val="C45911" w:themeColor="accent2" w:themeShade="BF"/>
          <w:shd w:val="clear" w:color="auto" w:fill="FFFFFF"/>
        </w:rPr>
        <w:t xml:space="preserve"> session is after school on Tuesday with LA and her team (LA’s office).</w:t>
      </w:r>
      <w:r>
        <w:rPr>
          <w:rFonts w:ascii="Arial" w:eastAsia="Times New Roman" w:hAnsi="Arial" w:cs="Arial"/>
          <w:color w:val="000000"/>
        </w:rPr>
        <w:t xml:space="preserve"> </w:t>
      </w:r>
    </w:p>
    <w:p w:rsidR="00763AED" w:rsidRDefault="00763AED" w:rsidP="00763AED">
      <w:pPr>
        <w:numPr>
          <w:ilvl w:val="0"/>
          <w:numId w:val="1"/>
        </w:numPr>
        <w:shd w:val="clear" w:color="auto" w:fill="FFFFFF"/>
        <w:spacing w:before="100" w:beforeAutospacing="1" w:after="100" w:afterAutospacing="1"/>
        <w:jc w:val="both"/>
        <w:rPr>
          <w:rFonts w:ascii="Arial" w:eastAsia="Times New Roman" w:hAnsi="Arial" w:cs="Arial"/>
          <w:color w:val="C45911" w:themeColor="accent2" w:themeShade="BF"/>
        </w:rPr>
      </w:pPr>
      <w:r>
        <w:rPr>
          <w:rFonts w:ascii="Calibri" w:eastAsia="Times New Roman" w:hAnsi="Calibri" w:cs="Calibri"/>
          <w:b/>
          <w:color w:val="FF0000"/>
        </w:rPr>
        <w:t>Extra-curricular activities</w:t>
      </w:r>
      <w:r>
        <w:rPr>
          <w:rFonts w:ascii="Calibri" w:eastAsia="Times New Roman" w:hAnsi="Calibri" w:cs="Calibri"/>
          <w:color w:val="000000"/>
        </w:rPr>
        <w:t xml:space="preserve"> </w:t>
      </w:r>
      <w:r>
        <w:rPr>
          <w:rFonts w:ascii="Calibri" w:eastAsia="Times New Roman" w:hAnsi="Calibri" w:cs="Calibri"/>
          <w:color w:val="C45911" w:themeColor="accent2" w:themeShade="BF"/>
        </w:rPr>
        <w:t xml:space="preserve">– The new timetable is now in registers.  Please draw attention to it in forms and display on noticeboards. </w:t>
      </w:r>
    </w:p>
    <w:p w:rsidR="00763AED" w:rsidRDefault="00763AED" w:rsidP="00763AED">
      <w:pPr>
        <w:numPr>
          <w:ilvl w:val="0"/>
          <w:numId w:val="1"/>
        </w:numPr>
        <w:shd w:val="clear" w:color="auto" w:fill="FFFFFF"/>
        <w:spacing w:before="100" w:beforeAutospacing="1" w:after="100" w:afterAutospacing="1"/>
        <w:jc w:val="both"/>
        <w:rPr>
          <w:rFonts w:ascii="Arial" w:eastAsia="Times New Roman" w:hAnsi="Arial" w:cs="Arial"/>
          <w:color w:val="00B050"/>
        </w:rPr>
      </w:pPr>
      <w:r>
        <w:rPr>
          <w:rFonts w:ascii="Calibri" w:eastAsia="Times New Roman" w:hAnsi="Calibri" w:cs="Calibri"/>
          <w:b/>
          <w:color w:val="FF0000"/>
        </w:rPr>
        <w:t xml:space="preserve">Study Groups </w:t>
      </w:r>
      <w:r>
        <w:rPr>
          <w:rFonts w:ascii="Calibri" w:eastAsia="Times New Roman" w:hAnsi="Calibri" w:cs="Calibri"/>
          <w:color w:val="C45911" w:themeColor="accent2" w:themeShade="BF"/>
        </w:rPr>
        <w:t xml:space="preserve">– The Study Group information </w:t>
      </w:r>
      <w:proofErr w:type="gramStart"/>
      <w:r>
        <w:rPr>
          <w:rFonts w:ascii="Calibri" w:eastAsia="Times New Roman" w:hAnsi="Calibri" w:cs="Calibri"/>
          <w:color w:val="C45911" w:themeColor="accent2" w:themeShade="BF"/>
        </w:rPr>
        <w:t>has been emailed</w:t>
      </w:r>
      <w:proofErr w:type="gramEnd"/>
      <w:r>
        <w:rPr>
          <w:rFonts w:ascii="Calibri" w:eastAsia="Times New Roman" w:hAnsi="Calibri" w:cs="Calibri"/>
          <w:color w:val="C45911" w:themeColor="accent2" w:themeShade="BF"/>
        </w:rPr>
        <w:t xml:space="preserve"> out. Please check your groups and for any errors.  I have scheduled a whole-staff CPD session on Monday 8</w:t>
      </w:r>
      <w:r>
        <w:rPr>
          <w:rFonts w:ascii="Calibri" w:eastAsia="Times New Roman" w:hAnsi="Calibri" w:cs="Calibri"/>
          <w:color w:val="C45911" w:themeColor="accent2" w:themeShade="BF"/>
          <w:vertAlign w:val="superscript"/>
        </w:rPr>
        <w:t>th</w:t>
      </w:r>
      <w:r>
        <w:rPr>
          <w:rFonts w:ascii="Calibri" w:eastAsia="Times New Roman" w:hAnsi="Calibri" w:cs="Calibri"/>
          <w:color w:val="C45911" w:themeColor="accent2" w:themeShade="BF"/>
        </w:rPr>
        <w:t xml:space="preserve"> October to launch this year’s Study Group research projects.  This will NOT count as one of the 5 hours.  It will be an opportunity for you to think about how you, as a group, wish to organise your time and remember face-to-face meetings may be difficult to schedule and are not necessarily the best use of your time.  </w:t>
      </w:r>
    </w:p>
    <w:p w:rsidR="00763AED" w:rsidRDefault="00763AED" w:rsidP="00763AED">
      <w:pPr>
        <w:shd w:val="clear" w:color="auto" w:fill="FFFFFF"/>
        <w:spacing w:before="100" w:beforeAutospacing="1" w:after="100" w:afterAutospacing="1"/>
        <w:jc w:val="both"/>
        <w:rPr>
          <w:rFonts w:ascii="Arial" w:hAnsi="Arial" w:cs="Arial"/>
          <w:color w:val="000000"/>
        </w:rPr>
      </w:pPr>
      <w:r>
        <w:rPr>
          <w:rFonts w:ascii="Calibri" w:eastAsia="Times New Roman" w:hAnsi="Calibri" w:cs="Calibri"/>
          <w:b/>
          <w:color w:val="00B050"/>
          <w:u w:val="single"/>
        </w:rPr>
        <w:t>Teaching Approach of the Week</w:t>
      </w:r>
    </w:p>
    <w:p w:rsidR="00763AED" w:rsidRDefault="00763AED" w:rsidP="00763AED">
      <w:pPr>
        <w:shd w:val="clear" w:color="auto" w:fill="FFFFFF"/>
        <w:spacing w:before="100" w:beforeAutospacing="1"/>
        <w:jc w:val="both"/>
        <w:rPr>
          <w:rFonts w:ascii="Arial" w:hAnsi="Arial" w:cs="Arial"/>
          <w:color w:val="000000"/>
        </w:rPr>
      </w:pPr>
      <w:r>
        <w:rPr>
          <w:rFonts w:ascii="Arial" w:hAnsi="Arial" w:cs="Arial"/>
          <w:color w:val="000000"/>
        </w:rPr>
        <w:t xml:space="preserve">Last week, James spoke about the development of our students’ </w:t>
      </w:r>
      <w:proofErr w:type="spellStart"/>
      <w:r>
        <w:rPr>
          <w:rFonts w:ascii="Arial" w:hAnsi="Arial" w:cs="Arial"/>
          <w:color w:val="000000"/>
        </w:rPr>
        <w:t>oracy</w:t>
      </w:r>
      <w:proofErr w:type="spellEnd"/>
      <w:r>
        <w:rPr>
          <w:rFonts w:ascii="Arial" w:hAnsi="Arial" w:cs="Arial"/>
          <w:color w:val="000000"/>
        </w:rPr>
        <w:t xml:space="preserve"> and collaborative skills within our classrooms.  This week, think about YOUR classroom rules for collaborative work and make them EXPLICIT.  Direct students and tell them HOW to complete the activity that you have set. The following approach </w:t>
      </w:r>
      <w:proofErr w:type="gramStart"/>
      <w:r>
        <w:rPr>
          <w:rFonts w:ascii="Arial" w:hAnsi="Arial" w:cs="Arial"/>
          <w:color w:val="000000"/>
        </w:rPr>
        <w:t>is taken</w:t>
      </w:r>
      <w:proofErr w:type="gramEnd"/>
      <w:r>
        <w:rPr>
          <w:rFonts w:ascii="Arial" w:hAnsi="Arial" w:cs="Arial"/>
          <w:color w:val="000000"/>
        </w:rPr>
        <w:t xml:space="preserve"> from Teacher Toolkit and this source offers plenty of links to further resources if you are interested: </w:t>
      </w:r>
      <w:hyperlink r:id="rId5" w:history="1">
        <w:r>
          <w:rPr>
            <w:rStyle w:val="Hyperlink"/>
            <w:rFonts w:ascii="Arial" w:hAnsi="Arial" w:cs="Arial"/>
          </w:rPr>
          <w:t>https://www.teachertoolkit.co.uk/2018/01/25/improving-oracy/</w:t>
        </w:r>
      </w:hyperlink>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4065"/>
        <w:gridCol w:w="4058"/>
      </w:tblGrid>
      <w:tr w:rsidR="00763AED" w:rsidTr="00763AED">
        <w:trPr>
          <w:tblCellSpacing w:w="0" w:type="dxa"/>
        </w:trPr>
        <w:tc>
          <w:tcPr>
            <w:tcW w:w="3750" w:type="dxa"/>
            <w:tcBorders>
              <w:top w:val="nil"/>
              <w:left w:val="nil"/>
              <w:bottom w:val="nil"/>
              <w:right w:val="nil"/>
            </w:tcBorders>
            <w:shd w:val="clear" w:color="auto" w:fill="FFFFFF"/>
            <w:tcMar>
              <w:top w:w="300" w:type="dxa"/>
              <w:left w:w="15" w:type="dxa"/>
              <w:bottom w:w="300" w:type="dxa"/>
              <w:right w:w="300" w:type="dxa"/>
            </w:tcMar>
            <w:hideMark/>
          </w:tcPr>
          <w:p w:rsidR="00763AED" w:rsidRDefault="00763AED">
            <w:pPr>
              <w:shd w:val="clear" w:color="auto" w:fill="FFFFFF"/>
              <w:spacing w:before="300"/>
              <w:rPr>
                <w:rFonts w:eastAsia="Times New Roman"/>
              </w:rPr>
            </w:pPr>
            <w:r>
              <w:rPr>
                <w:rFonts w:eastAsia="Times New Roman"/>
                <w:noProof/>
                <w:color w:val="0000FF"/>
              </w:rPr>
              <w:lastRenderedPageBreak/>
              <w:drawing>
                <wp:inline distT="0" distB="0" distL="0" distR="0">
                  <wp:extent cx="2377440" cy="1192530"/>
                  <wp:effectExtent l="0" t="0" r="3810" b="7620"/>
                  <wp:docPr id="4" name="Picture 4" descr="https://www.teachertoolkit.co.uk/wp-content/uploads/2018/01/speech-bubble.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5371293914090.09348305402537349" descr="https://www.teachertoolkit.co.uk/wp-content/uploads/2018/01/speech-bubb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119253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0" w:type="dxa"/>
              <w:left w:w="0" w:type="dxa"/>
              <w:bottom w:w="0" w:type="dxa"/>
              <w:right w:w="0" w:type="dxa"/>
            </w:tcMar>
            <w:hideMark/>
          </w:tcPr>
          <w:p w:rsidR="00763AED" w:rsidRDefault="00763AED">
            <w:pPr>
              <w:spacing w:before="300" w:line="315" w:lineRule="atLeast"/>
              <w:rPr>
                <w:rFonts w:ascii="Segoe UI Light" w:eastAsia="Times New Roman" w:hAnsi="Segoe UI Light" w:cs="Segoe UI Light"/>
                <w:color w:val="5FBCA2"/>
                <w:sz w:val="32"/>
                <w:szCs w:val="32"/>
              </w:rPr>
            </w:pPr>
            <w:hyperlink r:id="rId7" w:tgtFrame="_blank" w:history="1">
              <w:r>
                <w:rPr>
                  <w:rStyle w:val="Hyperlink"/>
                  <w:rFonts w:ascii="Segoe UI Light" w:eastAsia="Times New Roman" w:hAnsi="Segoe UI Light" w:cs="Segoe UI Light"/>
                  <w:sz w:val="32"/>
                  <w:szCs w:val="32"/>
                </w:rPr>
                <w:t xml:space="preserve">6 Tips For Improving </w:t>
              </w:r>
              <w:proofErr w:type="spellStart"/>
              <w:r>
                <w:rPr>
                  <w:rStyle w:val="Hyperlink"/>
                  <w:rFonts w:ascii="Segoe UI Light" w:eastAsia="Times New Roman" w:hAnsi="Segoe UI Light" w:cs="Segoe UI Light"/>
                  <w:sz w:val="32"/>
                  <w:szCs w:val="32"/>
                </w:rPr>
                <w:t>Oracy</w:t>
              </w:r>
              <w:proofErr w:type="spellEnd"/>
              <w:r>
                <w:rPr>
                  <w:rStyle w:val="Hyperlink"/>
                  <w:rFonts w:ascii="Segoe UI Light" w:eastAsia="Times New Roman" w:hAnsi="Segoe UI Light" w:cs="Segoe UI Light"/>
                  <w:sz w:val="32"/>
                  <w:szCs w:val="32"/>
                </w:rPr>
                <w:t xml:space="preserve"> - @</w:t>
              </w:r>
              <w:proofErr w:type="spellStart"/>
              <w:r>
                <w:rPr>
                  <w:rStyle w:val="Hyperlink"/>
                  <w:rFonts w:ascii="Segoe UI Light" w:eastAsia="Times New Roman" w:hAnsi="Segoe UI Light" w:cs="Segoe UI Light"/>
                  <w:sz w:val="32"/>
                  <w:szCs w:val="32"/>
                </w:rPr>
                <w:t>TeacherToolkit</w:t>
              </w:r>
              <w:proofErr w:type="spellEnd"/>
            </w:hyperlink>
          </w:p>
          <w:p w:rsidR="00763AED" w:rsidRDefault="00763AED">
            <w:pPr>
              <w:spacing w:before="300" w:line="210" w:lineRule="atLeast"/>
              <w:rPr>
                <w:rFonts w:ascii="Segoe UI" w:eastAsia="Times New Roman" w:hAnsi="Segoe UI" w:cs="Segoe UI"/>
                <w:color w:val="666666"/>
                <w:sz w:val="21"/>
                <w:szCs w:val="21"/>
              </w:rPr>
            </w:pPr>
            <w:hyperlink r:id="rId8" w:history="1">
              <w:r>
                <w:rPr>
                  <w:rStyle w:val="Hyperlink"/>
                  <w:rFonts w:ascii="Segoe UI" w:eastAsia="Times New Roman" w:hAnsi="Segoe UI" w:cs="Segoe UI"/>
                  <w:sz w:val="21"/>
                  <w:szCs w:val="21"/>
                </w:rPr>
                <w:t>www.teachertoolkit.co.uk</w:t>
              </w:r>
            </w:hyperlink>
          </w:p>
          <w:p w:rsidR="00763AED" w:rsidRDefault="00763AED">
            <w:pPr>
              <w:spacing w:before="300" w:line="300" w:lineRule="atLeast"/>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How do we make our classrooms hubs of high quality talk? Student talk is important and making it </w:t>
            </w:r>
            <w:proofErr w:type="gramStart"/>
            <w:r>
              <w:rPr>
                <w:rFonts w:ascii="Segoe UI" w:eastAsia="Times New Roman" w:hAnsi="Segoe UI" w:cs="Segoe UI"/>
                <w:color w:val="666666"/>
                <w:sz w:val="21"/>
                <w:szCs w:val="21"/>
              </w:rPr>
              <w:t>high-quality</w:t>
            </w:r>
            <w:proofErr w:type="gramEnd"/>
            <w:r>
              <w:rPr>
                <w:rFonts w:ascii="Segoe UI" w:eastAsia="Times New Roman" w:hAnsi="Segoe UI" w:cs="Segoe UI"/>
                <w:color w:val="666666"/>
                <w:sz w:val="21"/>
                <w:szCs w:val="21"/>
              </w:rPr>
              <w:t xml:space="preserve"> is transformational so how can we promote </w:t>
            </w:r>
            <w:proofErr w:type="spellStart"/>
            <w:r>
              <w:rPr>
                <w:rFonts w:ascii="Segoe UI" w:eastAsia="Times New Roman" w:hAnsi="Segoe UI" w:cs="Segoe UI"/>
                <w:color w:val="666666"/>
                <w:sz w:val="21"/>
                <w:szCs w:val="21"/>
              </w:rPr>
              <w:t>oracy</w:t>
            </w:r>
            <w:proofErr w:type="spellEnd"/>
            <w:r>
              <w:rPr>
                <w:rFonts w:ascii="Segoe UI" w:eastAsia="Times New Roman" w:hAnsi="Segoe UI" w:cs="Segoe UI"/>
                <w:color w:val="666666"/>
                <w:sz w:val="21"/>
                <w:szCs w:val="21"/>
              </w:rPr>
              <w:t>?</w:t>
            </w:r>
          </w:p>
        </w:tc>
      </w:tr>
    </w:tbl>
    <w:p w:rsidR="00763AED" w:rsidRDefault="00763AED" w:rsidP="00763AED">
      <w:pPr>
        <w:rPr>
          <w:rFonts w:ascii="Arial" w:eastAsia="Times New Roman" w:hAnsi="Arial" w:cs="Arial"/>
          <w:color w:val="000000"/>
        </w:rPr>
      </w:pPr>
    </w:p>
    <w:p w:rsidR="00763AED" w:rsidRDefault="00763AED" w:rsidP="00763AED">
      <w:pPr>
        <w:shd w:val="clear" w:color="auto" w:fill="FFFFFF"/>
        <w:spacing w:before="100" w:beforeAutospacing="1"/>
        <w:rPr>
          <w:rFonts w:ascii="Arial" w:hAnsi="Arial" w:cs="Arial"/>
          <w:color w:val="000000"/>
        </w:rPr>
      </w:pPr>
      <w:r>
        <w:rPr>
          <w:rFonts w:ascii="Arial" w:hAnsi="Arial" w:cs="Arial"/>
          <w:color w:val="000000"/>
        </w:rPr>
        <w:t> </w:t>
      </w:r>
    </w:p>
    <w:p w:rsidR="00763AED" w:rsidRDefault="00763AED" w:rsidP="00763AED">
      <w:pPr>
        <w:shd w:val="clear" w:color="auto" w:fill="FFFFFF"/>
        <w:spacing w:before="100" w:beforeAutospacing="1"/>
        <w:rPr>
          <w:rFonts w:ascii="Arial" w:hAnsi="Arial" w:cs="Arial"/>
          <w:color w:val="000000"/>
        </w:rPr>
      </w:pPr>
      <w:r>
        <w:rPr>
          <w:rFonts w:ascii="Arial" w:hAnsi="Arial" w:cs="Arial"/>
          <w:color w:val="000000"/>
        </w:rPr>
        <w:t xml:space="preserve">There is a wealth of research professing the importance of </w:t>
      </w:r>
      <w:proofErr w:type="spellStart"/>
      <w:r>
        <w:rPr>
          <w:rFonts w:ascii="Arial" w:hAnsi="Arial" w:cs="Arial"/>
          <w:color w:val="000000"/>
        </w:rPr>
        <w:t>oracy</w:t>
      </w:r>
      <w:proofErr w:type="spellEnd"/>
      <w:r>
        <w:rPr>
          <w:rFonts w:ascii="Arial" w:hAnsi="Arial" w:cs="Arial"/>
          <w:color w:val="000000"/>
        </w:rPr>
        <w:t xml:space="preserve">:  </w:t>
      </w:r>
    </w:p>
    <w:p w:rsidR="00763AED" w:rsidRDefault="00763AED" w:rsidP="00763AED">
      <w:pPr>
        <w:shd w:val="clear" w:color="auto" w:fill="FFFFFF"/>
        <w:spacing w:before="100" w:beforeAutospacing="1"/>
        <w:jc w:val="center"/>
        <w:rPr>
          <w:rFonts w:ascii="Arial" w:hAnsi="Arial" w:cs="Arial"/>
          <w:color w:val="000000"/>
        </w:rPr>
      </w:pPr>
      <w:r>
        <w:rPr>
          <w:rFonts w:ascii="Arial" w:hAnsi="Arial" w:cs="Arial"/>
          <w:color w:val="000000"/>
          <w:szCs w:val="22"/>
        </w:rPr>
        <w:t> </w:t>
      </w:r>
    </w:p>
    <w:p w:rsidR="00763AED" w:rsidRDefault="00763AED" w:rsidP="00763AED">
      <w:pPr>
        <w:shd w:val="clear" w:color="auto" w:fill="FFFFFF"/>
        <w:spacing w:before="100" w:beforeAutospacing="1"/>
        <w:jc w:val="center"/>
        <w:rPr>
          <w:rFonts w:ascii="Arial" w:hAnsi="Arial" w:cs="Arial"/>
          <w:color w:val="000000"/>
        </w:rPr>
      </w:pPr>
      <w:r>
        <w:rPr>
          <w:rFonts w:ascii="Arial" w:hAnsi="Arial" w:cstheme="minorHAnsi"/>
          <w:i/>
          <w:color w:val="000000"/>
          <w:szCs w:val="22"/>
        </w:rPr>
        <w:t>‘</w:t>
      </w:r>
      <w:hyperlink r:id="rId9" w:tgtFrame="_blank" w:history="1">
        <w:r>
          <w:rPr>
            <w:rStyle w:val="Hyperlink"/>
            <w:rFonts w:ascii="Arial" w:hAnsi="Arial" w:cstheme="minorHAnsi"/>
            <w:i/>
            <w:sz w:val="22"/>
            <w:bdr w:val="none" w:sz="0" w:space="0" w:color="auto" w:frame="1"/>
            <w:shd w:val="clear" w:color="auto" w:fill="FFFFFF"/>
          </w:rPr>
          <w:t>Vygotsky</w:t>
        </w:r>
      </w:hyperlink>
      <w:r>
        <w:rPr>
          <w:rFonts w:ascii="Arial" w:hAnsi="Arial" w:cstheme="minorHAnsi"/>
          <w:i/>
          <w:color w:val="000000"/>
          <w:szCs w:val="20"/>
          <w:shd w:val="clear" w:color="auto" w:fill="FFFFFF"/>
        </w:rPr>
        <w:t> suggests that talk represents our thoughts therefore the higher the quality of our students’ speech, the higher quality of their thinking.’</w:t>
      </w:r>
    </w:p>
    <w:p w:rsidR="00763AED" w:rsidRDefault="00763AED" w:rsidP="00763AED">
      <w:pPr>
        <w:shd w:val="clear" w:color="auto" w:fill="FFFFFF"/>
        <w:spacing w:before="100" w:beforeAutospacing="1"/>
        <w:jc w:val="center"/>
        <w:rPr>
          <w:rFonts w:ascii="Arial" w:hAnsi="Arial" w:cs="Arial"/>
          <w:color w:val="000000"/>
        </w:rPr>
      </w:pPr>
      <w:r>
        <w:rPr>
          <w:rFonts w:ascii="Arial" w:hAnsi="Arial" w:cstheme="minorHAnsi"/>
          <w:i/>
          <w:color w:val="000000"/>
          <w:szCs w:val="20"/>
          <w:shd w:val="clear" w:color="auto" w:fill="FFFFFF"/>
        </w:rPr>
        <w:t> </w:t>
      </w:r>
    </w:p>
    <w:p w:rsidR="00763AED" w:rsidRDefault="00763AED" w:rsidP="00763AED">
      <w:pPr>
        <w:shd w:val="clear" w:color="auto" w:fill="FFFFFF"/>
        <w:spacing w:before="100" w:beforeAutospacing="1"/>
        <w:jc w:val="center"/>
        <w:rPr>
          <w:rFonts w:ascii="Arial" w:hAnsi="Arial" w:cs="Arial"/>
          <w:color w:val="000000"/>
        </w:rPr>
      </w:pPr>
      <w:r>
        <w:rPr>
          <w:rFonts w:ascii="Arial" w:hAnsi="Arial" w:cstheme="minorHAnsi"/>
          <w:i/>
          <w:color w:val="000000"/>
          <w:szCs w:val="22"/>
        </w:rPr>
        <w:t>‘</w:t>
      </w:r>
      <w:hyperlink r:id="rId10" w:tgtFrame="_blank" w:history="1">
        <w:r>
          <w:rPr>
            <w:rStyle w:val="Hyperlink"/>
            <w:rFonts w:ascii="Arial" w:hAnsi="Arial" w:cstheme="minorHAnsi"/>
            <w:i/>
            <w:sz w:val="22"/>
            <w:bdr w:val="none" w:sz="0" w:space="0" w:color="auto" w:frame="1"/>
            <w:shd w:val="clear" w:color="auto" w:fill="FFFFFF"/>
          </w:rPr>
          <w:t>Professor John Hattie</w:t>
        </w:r>
      </w:hyperlink>
      <w:r>
        <w:rPr>
          <w:rFonts w:ascii="Arial" w:hAnsi="Arial" w:cstheme="minorHAnsi"/>
          <w:i/>
          <w:color w:val="000000"/>
          <w:szCs w:val="20"/>
          <w:shd w:val="clear" w:color="auto" w:fill="FFFFFF"/>
        </w:rPr>
        <w:t> also found that teaching strategies with high quality student talk prioritised produced the biggest effect sizes.’</w:t>
      </w:r>
    </w:p>
    <w:p w:rsidR="00763AED" w:rsidRDefault="00763AED" w:rsidP="00763AED">
      <w:pPr>
        <w:pStyle w:val="Heading5"/>
        <w:shd w:val="clear" w:color="auto" w:fill="FFFFFF"/>
        <w:spacing w:before="0" w:beforeAutospacing="0" w:after="0" w:afterAutospacing="0"/>
        <w:jc w:val="both"/>
        <w:textAlignment w:val="baseline"/>
        <w:rPr>
          <w:rFonts w:ascii="Arial" w:eastAsia="Times New Roman" w:hAnsi="Arial" w:cs="Arial"/>
          <w:color w:val="000000"/>
        </w:rPr>
      </w:pPr>
      <w:r>
        <w:rPr>
          <w:rFonts w:asciiTheme="minorHAnsi" w:eastAsia="Times New Roman" w:hAnsiTheme="minorHAnsi" w:cstheme="minorHAnsi"/>
          <w:b w:val="0"/>
          <w:bCs w:val="0"/>
          <w:color w:val="000000"/>
          <w:sz w:val="36"/>
          <w:szCs w:val="33"/>
        </w:rPr>
        <w:t> </w:t>
      </w:r>
    </w:p>
    <w:p w:rsidR="00763AED" w:rsidRDefault="00763AED" w:rsidP="00763AED">
      <w:pPr>
        <w:pStyle w:val="Heading5"/>
        <w:shd w:val="clear" w:color="auto" w:fill="FFFFFF"/>
        <w:spacing w:before="0" w:beforeAutospacing="0" w:after="0" w:afterAutospacing="0"/>
        <w:jc w:val="both"/>
        <w:textAlignment w:val="baseline"/>
        <w:rPr>
          <w:rFonts w:ascii="Arial" w:eastAsia="Times New Roman" w:hAnsi="Arial" w:cs="Arial"/>
          <w:color w:val="000000"/>
        </w:rPr>
      </w:pPr>
      <w:r>
        <w:rPr>
          <w:rFonts w:asciiTheme="minorHAnsi" w:eastAsia="Times New Roman" w:hAnsiTheme="minorHAnsi" w:cstheme="minorHAnsi"/>
          <w:b w:val="0"/>
          <w:bCs w:val="0"/>
          <w:color w:val="000000"/>
          <w:sz w:val="36"/>
          <w:szCs w:val="33"/>
        </w:rPr>
        <w:t>1. Rules for Talk</w:t>
      </w:r>
    </w:p>
    <w:p w:rsidR="00763AED" w:rsidRDefault="00763AED" w:rsidP="00763AED">
      <w:pPr>
        <w:pStyle w:val="NormalWeb"/>
        <w:shd w:val="clear" w:color="auto" w:fill="FFFFFF"/>
        <w:spacing w:after="225"/>
        <w:jc w:val="both"/>
        <w:textAlignment w:val="baseline"/>
        <w:rPr>
          <w:rFonts w:ascii="Arial" w:hAnsi="Arial" w:cs="Arial"/>
          <w:color w:val="000000"/>
        </w:rPr>
      </w:pPr>
      <w:r>
        <w:rPr>
          <w:rFonts w:asciiTheme="minorHAnsi" w:hAnsiTheme="minorHAnsi" w:cstheme="minorHAnsi"/>
          <w:color w:val="000000"/>
          <w:sz w:val="22"/>
          <w:szCs w:val="20"/>
        </w:rPr>
        <w:t>Try setting out your expectations from the start. What does high quality talk look, feel and sound like?</w:t>
      </w:r>
    </w:p>
    <w:p w:rsidR="00763AED" w:rsidRDefault="00763AED" w:rsidP="00763AED">
      <w:pPr>
        <w:pStyle w:val="NormalWeb"/>
        <w:shd w:val="clear" w:color="auto" w:fill="FFFFFF"/>
        <w:spacing w:after="225"/>
        <w:jc w:val="both"/>
        <w:textAlignment w:val="baseline"/>
        <w:rPr>
          <w:rFonts w:ascii="Arial" w:hAnsi="Arial" w:cs="Arial"/>
          <w:color w:val="000000"/>
        </w:rPr>
      </w:pPr>
      <w:r>
        <w:rPr>
          <w:rFonts w:asciiTheme="minorHAnsi" w:hAnsiTheme="minorHAnsi" w:cstheme="minorHAnsi"/>
          <w:color w:val="000000"/>
          <w:sz w:val="22"/>
          <w:szCs w:val="20"/>
        </w:rPr>
        <w:t>A display or hand out like the one below might help, reinforced through teacher modelling and constant reminders. You could even appoint student ‘talk police’ to ensure the expectations are met each lesson.</w:t>
      </w:r>
    </w:p>
    <w:p w:rsidR="00763AED" w:rsidRDefault="00763AED" w:rsidP="00763AED">
      <w:pPr>
        <w:pStyle w:val="NormalWeb"/>
        <w:shd w:val="clear" w:color="auto" w:fill="FFFFFF"/>
        <w:spacing w:after="225"/>
        <w:jc w:val="center"/>
        <w:textAlignment w:val="baseline"/>
        <w:rPr>
          <w:rFonts w:ascii="Arial" w:hAnsi="Arial" w:cs="Arial"/>
          <w:color w:val="000000"/>
        </w:rPr>
      </w:pPr>
      <w:r>
        <w:rPr>
          <w:rFonts w:ascii="Arial" w:hAnsi="Arial" w:cs="Arial"/>
          <w:noProof/>
          <w:color w:val="000000"/>
        </w:rPr>
        <w:lastRenderedPageBreak/>
        <w:drawing>
          <wp:inline distT="0" distB="0" distL="0" distR="0">
            <wp:extent cx="3768725" cy="2321560"/>
            <wp:effectExtent l="0" t="0" r="3175" b="2540"/>
            <wp:docPr id="3" name="Picture 3" descr="cid:7156c534-d98d-476c-9bd3-2c2568168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66642" descr="cid:7156c534-d98d-476c-9bd3-2c25681680b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68725" cy="2321560"/>
                    </a:xfrm>
                    <a:prstGeom prst="rect">
                      <a:avLst/>
                    </a:prstGeom>
                    <a:noFill/>
                    <a:ln>
                      <a:noFill/>
                    </a:ln>
                  </pic:spPr>
                </pic:pic>
              </a:graphicData>
            </a:graphic>
          </wp:inline>
        </w:drawing>
      </w:r>
    </w:p>
    <w:p w:rsidR="00763AED" w:rsidRDefault="00763AED" w:rsidP="00763AED">
      <w:pPr>
        <w:pStyle w:val="Heading5"/>
        <w:shd w:val="clear" w:color="auto" w:fill="FFFFFF"/>
        <w:spacing w:before="0" w:beforeAutospacing="0" w:after="0" w:afterAutospacing="0"/>
        <w:jc w:val="both"/>
        <w:textAlignment w:val="baseline"/>
        <w:rPr>
          <w:rFonts w:ascii="Arial" w:eastAsia="Times New Roman" w:hAnsi="Arial" w:cs="Arial"/>
          <w:color w:val="000000"/>
        </w:rPr>
      </w:pPr>
      <w:r>
        <w:rPr>
          <w:rFonts w:asciiTheme="minorHAnsi" w:eastAsia="Times New Roman" w:hAnsiTheme="minorHAnsi" w:cstheme="minorHAnsi"/>
          <w:b w:val="0"/>
          <w:bCs w:val="0"/>
          <w:color w:val="000000"/>
          <w:sz w:val="36"/>
          <w:szCs w:val="33"/>
        </w:rPr>
        <w:t>2. Sophisticated Synonyms</w:t>
      </w:r>
    </w:p>
    <w:p w:rsidR="00763AED" w:rsidRDefault="00763AED" w:rsidP="00763AED">
      <w:pPr>
        <w:pStyle w:val="NormalWeb"/>
        <w:shd w:val="clear" w:color="auto" w:fill="FFFFFF"/>
        <w:spacing w:after="225"/>
        <w:jc w:val="both"/>
        <w:textAlignment w:val="baseline"/>
        <w:rPr>
          <w:rFonts w:ascii="Arial" w:hAnsi="Arial" w:cs="Arial"/>
          <w:color w:val="000000"/>
        </w:rPr>
      </w:pPr>
      <w:r>
        <w:rPr>
          <w:rFonts w:asciiTheme="minorHAnsi" w:hAnsiTheme="minorHAnsi" w:cstheme="minorHAnsi"/>
          <w:color w:val="000000"/>
          <w:sz w:val="22"/>
          <w:szCs w:val="20"/>
        </w:rPr>
        <w:t>I have found this one of the biggest game changers in my classroom: displaying academic verbs in my subject area and a list of synonyms.  All I have to do is point during a discussion to encourage students to vary their vocabulary. It also opens up a dialogue about which verb is most appropriate thereby teasing out the subtle nuances between meanings.</w:t>
      </w:r>
    </w:p>
    <w:p w:rsidR="00763AED" w:rsidRDefault="00763AED" w:rsidP="00763AED">
      <w:pPr>
        <w:pStyle w:val="Heading5"/>
        <w:shd w:val="clear" w:color="auto" w:fill="FFFFFF"/>
        <w:spacing w:before="0" w:beforeAutospacing="0" w:after="0" w:afterAutospacing="0"/>
        <w:jc w:val="both"/>
        <w:textAlignment w:val="baseline"/>
        <w:rPr>
          <w:rFonts w:ascii="Arial" w:eastAsia="Times New Roman" w:hAnsi="Arial" w:cs="Arial"/>
          <w:color w:val="000000"/>
        </w:rPr>
      </w:pPr>
      <w:r>
        <w:rPr>
          <w:rFonts w:asciiTheme="minorHAnsi" w:eastAsia="Times New Roman" w:hAnsiTheme="minorHAnsi" w:cstheme="minorHAnsi"/>
          <w:b w:val="0"/>
          <w:bCs w:val="0"/>
          <w:color w:val="000000"/>
          <w:sz w:val="36"/>
          <w:szCs w:val="33"/>
        </w:rPr>
        <w:t>3. Paraphrasing</w:t>
      </w:r>
    </w:p>
    <w:p w:rsidR="00763AED" w:rsidRDefault="00763AED" w:rsidP="00763AED">
      <w:pPr>
        <w:pStyle w:val="NormalWeb"/>
        <w:shd w:val="clear" w:color="auto" w:fill="FFFFFF"/>
        <w:spacing w:after="225"/>
        <w:jc w:val="both"/>
        <w:textAlignment w:val="baseline"/>
        <w:rPr>
          <w:rFonts w:ascii="Arial" w:hAnsi="Arial" w:cs="Arial"/>
          <w:color w:val="000000"/>
        </w:rPr>
      </w:pPr>
      <w:r>
        <w:rPr>
          <w:rFonts w:asciiTheme="minorHAnsi" w:hAnsiTheme="minorHAnsi" w:cstheme="minorHAnsi"/>
          <w:color w:val="000000"/>
          <w:sz w:val="22"/>
          <w:szCs w:val="20"/>
        </w:rPr>
        <w:t>Students have only listened and comprehended successfully if they can paraphrase their peers’ ideas – no daydreaming allowed!</w:t>
      </w:r>
    </w:p>
    <w:p w:rsidR="00763AED" w:rsidRDefault="00763AED" w:rsidP="00763AED">
      <w:pPr>
        <w:pStyle w:val="Heading5"/>
        <w:shd w:val="clear" w:color="auto" w:fill="FFFFFF"/>
        <w:spacing w:before="0" w:beforeAutospacing="0" w:after="0" w:afterAutospacing="0"/>
        <w:jc w:val="both"/>
        <w:textAlignment w:val="baseline"/>
        <w:rPr>
          <w:rFonts w:ascii="Arial" w:eastAsia="Times New Roman" w:hAnsi="Arial" w:cs="Arial"/>
          <w:color w:val="000000"/>
        </w:rPr>
      </w:pPr>
      <w:r>
        <w:rPr>
          <w:rFonts w:asciiTheme="minorHAnsi" w:eastAsia="Times New Roman" w:hAnsiTheme="minorHAnsi" w:cstheme="minorHAnsi"/>
          <w:b w:val="0"/>
          <w:bCs w:val="0"/>
          <w:color w:val="000000"/>
          <w:sz w:val="36"/>
          <w:szCs w:val="33"/>
        </w:rPr>
        <w:t>4. Thought Stems</w:t>
      </w:r>
    </w:p>
    <w:p w:rsidR="00763AED" w:rsidRDefault="00763AED" w:rsidP="00763AED">
      <w:pPr>
        <w:pStyle w:val="NormalWeb"/>
        <w:shd w:val="clear" w:color="auto" w:fill="FFFFFF"/>
        <w:jc w:val="both"/>
        <w:textAlignment w:val="baseline"/>
        <w:rPr>
          <w:rFonts w:ascii="Arial" w:hAnsi="Arial" w:cs="Arial"/>
          <w:color w:val="000000"/>
        </w:rPr>
      </w:pPr>
      <w:r>
        <w:rPr>
          <w:rFonts w:asciiTheme="minorHAnsi" w:hAnsiTheme="minorHAnsi" w:cstheme="minorHAnsi"/>
          <w:color w:val="000000"/>
          <w:sz w:val="22"/>
          <w:szCs w:val="20"/>
        </w:rPr>
        <w:t>An idea stolen from </w:t>
      </w:r>
      <w:hyperlink r:id="rId13" w:tgtFrame="_blank" w:history="1">
        <w:r>
          <w:rPr>
            <w:rStyle w:val="Hyperlink"/>
            <w:rFonts w:asciiTheme="minorHAnsi" w:hAnsiTheme="minorHAnsi" w:cstheme="minorHAnsi"/>
            <w:sz w:val="22"/>
            <w:bdr w:val="none" w:sz="0" w:space="0" w:color="auto" w:frame="1"/>
          </w:rPr>
          <w:t xml:space="preserve">David </w:t>
        </w:r>
        <w:proofErr w:type="spellStart"/>
        <w:r>
          <w:rPr>
            <w:rStyle w:val="Hyperlink"/>
            <w:rFonts w:asciiTheme="minorHAnsi" w:hAnsiTheme="minorHAnsi" w:cstheme="minorHAnsi"/>
            <w:sz w:val="22"/>
            <w:bdr w:val="none" w:sz="0" w:space="0" w:color="auto" w:frame="1"/>
          </w:rPr>
          <w:t>Didau’s</w:t>
        </w:r>
        <w:proofErr w:type="spellEnd"/>
      </w:hyperlink>
      <w:r>
        <w:rPr>
          <w:rFonts w:asciiTheme="minorHAnsi" w:hAnsiTheme="minorHAnsi" w:cstheme="minorHAnsi"/>
          <w:color w:val="000000"/>
          <w:sz w:val="22"/>
          <w:szCs w:val="20"/>
        </w:rPr>
        <w:t> work around speaking like an academic or professional in the given subject area. By encouraging students to think and speak using sophisticated phrasing, they are more likely to internalize it and use it confidently in their writing.  It goes without saying that the more you can model this kind of talk, the better!</w:t>
      </w:r>
    </w:p>
    <w:p w:rsidR="00763AED" w:rsidRDefault="00763AED" w:rsidP="00763AED">
      <w:pPr>
        <w:pStyle w:val="NormalWeb"/>
        <w:shd w:val="clear" w:color="auto" w:fill="FFFFFF"/>
        <w:spacing w:after="225"/>
        <w:jc w:val="both"/>
        <w:textAlignment w:val="baseline"/>
        <w:rPr>
          <w:rFonts w:ascii="Arial" w:hAnsi="Arial" w:cs="Arial"/>
          <w:color w:val="000000"/>
        </w:rPr>
      </w:pPr>
      <w:r>
        <w:rPr>
          <w:rFonts w:asciiTheme="minorHAnsi" w:hAnsiTheme="minorHAnsi" w:cstheme="minorHAnsi"/>
          <w:color w:val="000000"/>
          <w:sz w:val="22"/>
          <w:szCs w:val="20"/>
        </w:rPr>
        <w:t> </w:t>
      </w:r>
      <w:r>
        <w:rPr>
          <w:rFonts w:asciiTheme="minorHAnsi" w:hAnsiTheme="minorHAnsi" w:cstheme="minorHAnsi"/>
          <w:noProof/>
          <w:color w:val="000000"/>
          <w:sz w:val="22"/>
          <w:szCs w:val="20"/>
        </w:rPr>
        <w:drawing>
          <wp:inline distT="0" distB="0" distL="0" distR="0">
            <wp:extent cx="2966085" cy="1924050"/>
            <wp:effectExtent l="0" t="0" r="5715" b="0"/>
            <wp:docPr id="2" name="Picture 2" descr="cid:ff9ede7f-8838-4913-b606-d6a1674064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64339" descr="cid:ff9ede7f-8838-4913-b606-d6a16740648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66085" cy="1924050"/>
                    </a:xfrm>
                    <a:prstGeom prst="rect">
                      <a:avLst/>
                    </a:prstGeom>
                    <a:noFill/>
                    <a:ln>
                      <a:noFill/>
                    </a:ln>
                  </pic:spPr>
                </pic:pic>
              </a:graphicData>
            </a:graphic>
          </wp:inline>
        </w:drawing>
      </w:r>
    </w:p>
    <w:p w:rsidR="00763AED" w:rsidRDefault="00763AED" w:rsidP="00763AED">
      <w:pPr>
        <w:pStyle w:val="Heading5"/>
        <w:shd w:val="clear" w:color="auto" w:fill="FFFFFF"/>
        <w:spacing w:before="0" w:beforeAutospacing="0" w:after="0" w:afterAutospacing="0"/>
        <w:jc w:val="both"/>
        <w:textAlignment w:val="baseline"/>
        <w:rPr>
          <w:rFonts w:ascii="Arial" w:eastAsia="Times New Roman" w:hAnsi="Arial" w:cs="Arial"/>
          <w:color w:val="000000"/>
        </w:rPr>
      </w:pPr>
      <w:r>
        <w:rPr>
          <w:rFonts w:asciiTheme="minorHAnsi" w:eastAsia="Times New Roman" w:hAnsiTheme="minorHAnsi" w:cstheme="minorHAnsi"/>
          <w:b w:val="0"/>
          <w:bCs w:val="0"/>
          <w:color w:val="000000"/>
          <w:sz w:val="36"/>
          <w:szCs w:val="33"/>
        </w:rPr>
        <w:t>5. Relentless Redrafting</w:t>
      </w:r>
    </w:p>
    <w:p w:rsidR="00763AED" w:rsidRDefault="00763AED" w:rsidP="00763AED">
      <w:pPr>
        <w:pStyle w:val="NormalWeb"/>
        <w:shd w:val="clear" w:color="auto" w:fill="FFFFFF"/>
        <w:spacing w:after="225"/>
        <w:jc w:val="both"/>
        <w:textAlignment w:val="baseline"/>
        <w:rPr>
          <w:rFonts w:ascii="Arial" w:hAnsi="Arial" w:cs="Arial"/>
          <w:color w:val="000000"/>
        </w:rPr>
      </w:pPr>
      <w:r>
        <w:rPr>
          <w:rFonts w:asciiTheme="minorHAnsi" w:hAnsiTheme="minorHAnsi" w:cstheme="minorHAnsi"/>
          <w:color w:val="000000"/>
          <w:sz w:val="22"/>
          <w:szCs w:val="20"/>
        </w:rPr>
        <w:t>By asking students to replace a word with a more specific or sophisticated synonym; add a subordinate clause or use one of the key words from the lesson in their answer, you are constantly raising the standard of their thinking and speaking.</w:t>
      </w:r>
    </w:p>
    <w:p w:rsidR="00763AED" w:rsidRDefault="00763AED" w:rsidP="00763AED">
      <w:pPr>
        <w:pStyle w:val="NormalWeb"/>
        <w:shd w:val="clear" w:color="auto" w:fill="FFFFFF"/>
        <w:spacing w:after="225"/>
        <w:jc w:val="both"/>
        <w:textAlignment w:val="baseline"/>
        <w:rPr>
          <w:rFonts w:ascii="Arial" w:hAnsi="Arial" w:cs="Arial"/>
          <w:color w:val="000000"/>
        </w:rPr>
      </w:pPr>
      <w:r>
        <w:rPr>
          <w:rFonts w:asciiTheme="minorHAnsi" w:hAnsiTheme="minorHAnsi" w:cstheme="minorHAnsi"/>
          <w:color w:val="000000"/>
          <w:sz w:val="22"/>
          <w:szCs w:val="20"/>
        </w:rPr>
        <w:t xml:space="preserve">Again, by modelling this process first, students are able to see, hear and understand the thinking behind the redrafting process. It is worth remembering that if students answer using complex </w:t>
      </w:r>
      <w:proofErr w:type="gramStart"/>
      <w:r>
        <w:rPr>
          <w:rFonts w:asciiTheme="minorHAnsi" w:hAnsiTheme="minorHAnsi" w:cstheme="minorHAnsi"/>
          <w:color w:val="000000"/>
          <w:sz w:val="22"/>
          <w:szCs w:val="20"/>
        </w:rPr>
        <w:t>sentences,</w:t>
      </w:r>
      <w:proofErr w:type="gramEnd"/>
      <w:r>
        <w:rPr>
          <w:rFonts w:asciiTheme="minorHAnsi" w:hAnsiTheme="minorHAnsi" w:cstheme="minorHAnsi"/>
          <w:color w:val="000000"/>
          <w:sz w:val="22"/>
          <w:szCs w:val="20"/>
        </w:rPr>
        <w:t xml:space="preserve"> their thinking becomes more complex too.</w:t>
      </w:r>
    </w:p>
    <w:p w:rsidR="00763AED" w:rsidRDefault="00763AED" w:rsidP="00763AED">
      <w:pPr>
        <w:shd w:val="clear" w:color="auto" w:fill="FFFFFF"/>
        <w:spacing w:before="100" w:beforeAutospacing="1"/>
        <w:rPr>
          <w:rFonts w:ascii="Arial" w:hAnsi="Arial" w:cs="Arial"/>
          <w:color w:val="000000"/>
        </w:rPr>
      </w:pPr>
      <w:r>
        <w:rPr>
          <w:rFonts w:ascii="Arial" w:eastAsia="Times New Roman" w:hAnsi="Arial" w:cstheme="minorHAnsi"/>
          <w:b/>
          <w:bCs/>
          <w:color w:val="7030A0"/>
          <w:szCs w:val="22"/>
          <w:shd w:val="clear" w:color="auto" w:fill="FFFFFF"/>
        </w:rPr>
        <w:lastRenderedPageBreak/>
        <w:t> </w:t>
      </w:r>
    </w:p>
    <w:p w:rsidR="00763AED" w:rsidRDefault="00763AED" w:rsidP="00763AED">
      <w:pPr>
        <w:shd w:val="clear" w:color="auto" w:fill="FFFFFF"/>
        <w:spacing w:before="100" w:beforeAutospacing="1"/>
        <w:rPr>
          <w:rFonts w:ascii="Arial" w:hAnsi="Arial" w:cs="Arial"/>
          <w:color w:val="000000"/>
        </w:rPr>
      </w:pPr>
      <w:r>
        <w:rPr>
          <w:rFonts w:ascii="Arial" w:eastAsia="Times New Roman" w:hAnsi="Arial" w:cstheme="minorHAnsi"/>
          <w:b/>
          <w:bCs/>
          <w:color w:val="7030A0"/>
          <w:u w:val="single"/>
          <w:shd w:val="clear" w:color="auto" w:fill="FFFFFF"/>
        </w:rPr>
        <w:t>Top Tips in Two this Term (</w:t>
      </w:r>
      <w:proofErr w:type="spellStart"/>
      <w:r>
        <w:rPr>
          <w:rFonts w:ascii="Arial" w:eastAsia="Times New Roman" w:hAnsi="Arial" w:cstheme="minorHAnsi"/>
          <w:b/>
          <w:bCs/>
          <w:color w:val="7030A0"/>
          <w:u w:val="single"/>
          <w:shd w:val="clear" w:color="auto" w:fill="FFFFFF"/>
        </w:rPr>
        <w:t>HoDs</w:t>
      </w:r>
      <w:proofErr w:type="spellEnd"/>
      <w:r>
        <w:rPr>
          <w:rFonts w:ascii="Arial" w:eastAsia="Times New Roman" w:hAnsi="Arial" w:cstheme="minorHAnsi"/>
          <w:b/>
          <w:bCs/>
          <w:color w:val="7030A0"/>
          <w:u w:val="single"/>
          <w:shd w:val="clear" w:color="auto" w:fill="FFFFFF"/>
        </w:rPr>
        <w:t xml:space="preserve"> please organise who will share and let me know)</w:t>
      </w:r>
    </w:p>
    <w:p w:rsidR="00763AED" w:rsidRDefault="00763AED" w:rsidP="00763AED">
      <w:pPr>
        <w:shd w:val="clear" w:color="auto" w:fill="FFFFFF"/>
        <w:spacing w:before="100" w:beforeAutospacing="1"/>
        <w:rPr>
          <w:rFonts w:ascii="Arial" w:hAnsi="Arial" w:cs="Arial"/>
          <w:color w:val="000000"/>
        </w:rPr>
      </w:pPr>
    </w:p>
    <w:p w:rsidR="00763AED" w:rsidRDefault="00763AED" w:rsidP="00763AED">
      <w:pPr>
        <w:shd w:val="clear" w:color="auto" w:fill="FFFFFF"/>
        <w:spacing w:before="100" w:beforeAutospacing="1"/>
        <w:rPr>
          <w:rFonts w:ascii="Arial" w:hAnsi="Arial" w:cs="Arial"/>
          <w:color w:val="000000"/>
        </w:rPr>
      </w:pPr>
      <w:r>
        <w:rPr>
          <w:rFonts w:ascii="Arial" w:hAnsi="Arial" w:cs="Arial"/>
          <w:noProof/>
          <w:color w:val="000000"/>
        </w:rPr>
        <w:drawing>
          <wp:inline distT="0" distB="0" distL="0" distR="0">
            <wp:extent cx="6082665" cy="3736975"/>
            <wp:effectExtent l="0" t="0" r="0" b="0"/>
            <wp:docPr id="1" name="Picture 1" descr="cid:121053a8-201c-4f2b-9f87-6463df471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32942" descr="cid:121053a8-201c-4f2b-9f87-6463df47100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82665" cy="3736975"/>
                    </a:xfrm>
                    <a:prstGeom prst="rect">
                      <a:avLst/>
                    </a:prstGeom>
                    <a:noFill/>
                    <a:ln>
                      <a:noFill/>
                    </a:ln>
                  </pic:spPr>
                </pic:pic>
              </a:graphicData>
            </a:graphic>
          </wp:inline>
        </w:drawing>
      </w:r>
      <w:bookmarkStart w:id="0" w:name="_GoBack"/>
      <w:bookmarkEnd w:id="0"/>
    </w:p>
    <w:p w:rsidR="00763AED" w:rsidRDefault="00763AED" w:rsidP="00763AED">
      <w:pPr>
        <w:shd w:val="clear" w:color="auto" w:fill="FFFFFF"/>
        <w:spacing w:before="100" w:beforeAutospacing="1"/>
        <w:rPr>
          <w:rFonts w:ascii="Arial" w:hAnsi="Arial" w:cs="Arial"/>
          <w:color w:val="000000"/>
        </w:rPr>
      </w:pPr>
      <w:r>
        <w:rPr>
          <w:rFonts w:ascii="Arial" w:eastAsia="Times New Roman" w:hAnsi="Arial" w:cstheme="minorHAnsi"/>
          <w:b/>
          <w:color w:val="808080" w:themeColor="background1" w:themeShade="80"/>
          <w:u w:val="single"/>
          <w:shd w:val="clear" w:color="auto" w:fill="FFFFFF"/>
        </w:rPr>
        <w:t>CPD Cascade</w:t>
      </w:r>
    </w:p>
    <w:p w:rsidR="00763AED" w:rsidRDefault="00763AED" w:rsidP="00763AED">
      <w:pPr>
        <w:shd w:val="clear" w:color="auto" w:fill="FFFFFF"/>
        <w:spacing w:before="100" w:beforeAutospacing="1"/>
        <w:jc w:val="both"/>
        <w:rPr>
          <w:rFonts w:ascii="Arial" w:hAnsi="Arial" w:cs="Arial"/>
          <w:color w:val="000000"/>
        </w:rPr>
      </w:pPr>
      <w:r>
        <w:rPr>
          <w:rFonts w:ascii="Arial" w:eastAsia="Times New Roman" w:hAnsi="Arial" w:cstheme="minorHAnsi"/>
          <w:color w:val="808080" w:themeColor="background1" w:themeShade="80"/>
          <w:shd w:val="clear" w:color="auto" w:fill="FFFFFF"/>
        </w:rPr>
        <w:t xml:space="preserve">L. Rayner will provide this week’s Top Tip to feedback on CPD.  </w:t>
      </w:r>
    </w:p>
    <w:p w:rsidR="00763AED" w:rsidRDefault="00763AED" w:rsidP="00763AED">
      <w:pPr>
        <w:shd w:val="clear" w:color="auto" w:fill="FFFFFF"/>
        <w:spacing w:before="100" w:beforeAutospacing="1"/>
        <w:rPr>
          <w:rFonts w:ascii="Arial" w:hAnsi="Arial" w:cs="Arial"/>
          <w:color w:val="000000"/>
          <w:sz w:val="20"/>
          <w:szCs w:val="20"/>
        </w:rPr>
      </w:pPr>
      <w:r>
        <w:rPr>
          <w:rFonts w:ascii="Arial" w:eastAsia="Times New Roman" w:hAnsi="Arial" w:cstheme="minorHAnsi"/>
          <w:color w:val="000000"/>
          <w:shd w:val="clear" w:color="auto" w:fill="FFFFFF"/>
        </w:rPr>
        <w:t>Thanks for reading.  ‘</w:t>
      </w:r>
    </w:p>
    <w:p w:rsidR="009B5047" w:rsidRDefault="009B5047"/>
    <w:sectPr w:rsidR="009B5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35B0"/>
    <w:multiLevelType w:val="multilevel"/>
    <w:tmpl w:val="C518D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ED"/>
    <w:rsid w:val="00763AED"/>
    <w:rsid w:val="009B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862F"/>
  <w15:chartTrackingRefBased/>
  <w15:docId w15:val="{B15840E4-1249-4A71-880F-FEC5D08E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ED"/>
    <w:pPr>
      <w:spacing w:after="0" w:line="240" w:lineRule="auto"/>
    </w:pPr>
    <w:rPr>
      <w:rFonts w:ascii="Times New Roman" w:hAnsi="Times New Roman" w:cs="Times New Roman"/>
      <w:sz w:val="24"/>
      <w:szCs w:val="24"/>
      <w:lang w:eastAsia="en-GB"/>
    </w:rPr>
  </w:style>
  <w:style w:type="paragraph" w:styleId="Heading5">
    <w:name w:val="heading 5"/>
    <w:basedOn w:val="Normal"/>
    <w:link w:val="Heading5Char"/>
    <w:uiPriority w:val="9"/>
    <w:semiHidden/>
    <w:unhideWhenUsed/>
    <w:qFormat/>
    <w:rsid w:val="00763AE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63AED"/>
    <w:rPr>
      <w:rFonts w:ascii="Times New Roman" w:hAnsi="Times New Roman" w:cs="Times New Roman"/>
      <w:b/>
      <w:bCs/>
      <w:sz w:val="20"/>
      <w:szCs w:val="20"/>
      <w:lang w:eastAsia="en-GB"/>
    </w:rPr>
  </w:style>
  <w:style w:type="character" w:styleId="Hyperlink">
    <w:name w:val="Hyperlink"/>
    <w:basedOn w:val="DefaultParagraphFont"/>
    <w:uiPriority w:val="99"/>
    <w:semiHidden/>
    <w:unhideWhenUsed/>
    <w:rsid w:val="00763AED"/>
    <w:rPr>
      <w:color w:val="0000FF"/>
      <w:u w:val="single"/>
    </w:rPr>
  </w:style>
  <w:style w:type="paragraph" w:styleId="NormalWeb">
    <w:name w:val="Normal (Web)"/>
    <w:basedOn w:val="Normal"/>
    <w:uiPriority w:val="99"/>
    <w:semiHidden/>
    <w:unhideWhenUsed/>
    <w:rsid w:val="00763AED"/>
  </w:style>
  <w:style w:type="character" w:styleId="Emphasis">
    <w:name w:val="Emphasis"/>
    <w:basedOn w:val="DefaultParagraphFont"/>
    <w:uiPriority w:val="20"/>
    <w:qFormat/>
    <w:rsid w:val="00763AED"/>
    <w:rPr>
      <w:i/>
      <w:iCs/>
    </w:rPr>
  </w:style>
  <w:style w:type="character" w:styleId="Strong">
    <w:name w:val="Strong"/>
    <w:basedOn w:val="DefaultParagraphFont"/>
    <w:uiPriority w:val="22"/>
    <w:qFormat/>
    <w:rsid w:val="00763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toolkit.co.uk" TargetMode="External"/><Relationship Id="rId13" Type="http://schemas.openxmlformats.org/officeDocument/2006/relationships/hyperlink" Target="http://www.learningspy.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ertoolkit.co.uk/2018/01/25/improving-oracy/" TargetMode="External"/><Relationship Id="rId12" Type="http://schemas.openxmlformats.org/officeDocument/2006/relationships/image" Target="cid:7156c534-d98d-476c-9bd3-2c25681680b8" TargetMode="External"/><Relationship Id="rId17" Type="http://schemas.openxmlformats.org/officeDocument/2006/relationships/image" Target="cid:121053a8-201c-4f2b-9f87-6463df47100f"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hyperlink" Target="https://www.teachertoolkit.co.uk/2018/01/25/improving-oracy/" TargetMode="External"/><Relationship Id="rId15" Type="http://schemas.openxmlformats.org/officeDocument/2006/relationships/image" Target="cid:ff9ede7f-8838-4913-b606-d6a16740648a" TargetMode="External"/><Relationship Id="rId10" Type="http://schemas.openxmlformats.org/officeDocument/2006/relationships/hyperlink" Target="http://www.education.auckland.ac.nz/en/about/staff/j.hatti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Lev_Vygotsky"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Harris</dc:creator>
  <cp:keywords/>
  <dc:description/>
  <cp:lastModifiedBy>J Harris</cp:lastModifiedBy>
  <cp:revision>1</cp:revision>
  <dcterms:created xsi:type="dcterms:W3CDTF">2018-09-17T06:54:00Z</dcterms:created>
  <dcterms:modified xsi:type="dcterms:W3CDTF">2018-09-17T06:56:00Z</dcterms:modified>
</cp:coreProperties>
</file>