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7F9" w:rsidRDefault="00A947F9" w:rsidP="00A947F9">
      <w:pPr>
        <w:pStyle w:val="NormalWeb"/>
        <w:shd w:val="clear" w:color="auto" w:fill="FFFFFF"/>
        <w:jc w:val="center"/>
        <w:rPr>
          <w:rFonts w:ascii="Arial" w:hAnsi="Arial" w:cs="Arial"/>
          <w:color w:val="000000"/>
        </w:rPr>
      </w:pPr>
      <w:r>
        <w:rPr>
          <w:rFonts w:ascii="Arial" w:eastAsia="Times New Roman" w:hAnsi="Arial" w:cs="Arial"/>
          <w:b/>
          <w:bCs/>
          <w:color w:val="00B0F0"/>
          <w:sz w:val="28"/>
          <w:szCs w:val="32"/>
          <w:shd w:val="clear" w:color="auto" w:fill="FFFFFF"/>
        </w:rPr>
        <w:t>WLD Teaching and Learning Digest – w/c 15</w:t>
      </w:r>
      <w:r>
        <w:rPr>
          <w:rFonts w:ascii="Arial" w:eastAsia="Times New Roman" w:hAnsi="Arial" w:cs="Arial"/>
          <w:b/>
          <w:bCs/>
          <w:color w:val="00B0F0"/>
          <w:sz w:val="28"/>
          <w:szCs w:val="32"/>
          <w:shd w:val="clear" w:color="auto" w:fill="FFFFFF"/>
          <w:vertAlign w:val="superscript"/>
        </w:rPr>
        <w:t>th</w:t>
      </w:r>
      <w:r>
        <w:rPr>
          <w:rFonts w:ascii="Arial" w:eastAsia="Times New Roman" w:hAnsi="Arial" w:cs="Arial"/>
          <w:b/>
          <w:bCs/>
          <w:color w:val="00B0F0"/>
          <w:sz w:val="28"/>
          <w:szCs w:val="32"/>
          <w:shd w:val="clear" w:color="auto" w:fill="FFFFFF"/>
        </w:rPr>
        <w:t xml:space="preserve"> October 2018</w:t>
      </w:r>
    </w:p>
    <w:p w:rsidR="00A947F9" w:rsidRDefault="00A947F9" w:rsidP="00A947F9">
      <w:pPr>
        <w:pStyle w:val="NormalWeb"/>
        <w:shd w:val="clear" w:color="auto" w:fill="FFFFFF"/>
        <w:jc w:val="center"/>
        <w:rPr>
          <w:rFonts w:ascii="Arial" w:hAnsi="Arial" w:cs="Arial"/>
          <w:color w:val="000000"/>
        </w:rPr>
      </w:pPr>
      <w:r>
        <w:rPr>
          <w:rFonts w:ascii="Arial" w:eastAsia="Times New Roman" w:hAnsi="Arial" w:cs="Arial"/>
          <w:color w:val="000000"/>
          <w:shd w:val="clear" w:color="auto" w:fill="FFFFFF"/>
        </w:rPr>
        <w:t> </w:t>
      </w:r>
    </w:p>
    <w:p w:rsidR="00A947F9" w:rsidRDefault="00A947F9" w:rsidP="00A947F9">
      <w:pPr>
        <w:pStyle w:val="NormalWeb"/>
        <w:shd w:val="clear" w:color="auto" w:fill="FFFFFF"/>
        <w:jc w:val="center"/>
        <w:rPr>
          <w:rFonts w:ascii="Arial" w:hAnsi="Arial" w:cs="Arial"/>
          <w:color w:val="000000"/>
        </w:rPr>
      </w:pPr>
      <w:r>
        <w:rPr>
          <w:rFonts w:ascii="Arial" w:eastAsia="Times New Roman" w:hAnsi="Arial" w:cs="Arial"/>
          <w:color w:val="000000"/>
          <w:shd w:val="clear" w:color="auto" w:fill="FFFFFF"/>
        </w:rPr>
        <w:t> </w:t>
      </w:r>
    </w:p>
    <w:tbl>
      <w:tblPr>
        <w:tblW w:w="0" w:type="auto"/>
        <w:jc w:val="center"/>
        <w:shd w:val="clear" w:color="auto" w:fill="F7CAAC"/>
        <w:tblCellMar>
          <w:left w:w="0" w:type="dxa"/>
          <w:right w:w="0" w:type="dxa"/>
        </w:tblCellMar>
        <w:tblLook w:val="04A0" w:firstRow="1" w:lastRow="0" w:firstColumn="1" w:lastColumn="0" w:noHBand="0" w:noVBand="1"/>
      </w:tblPr>
      <w:tblGrid>
        <w:gridCol w:w="4810"/>
        <w:gridCol w:w="3846"/>
      </w:tblGrid>
      <w:tr w:rsidR="00A947F9" w:rsidTr="00A947F9">
        <w:trPr>
          <w:jc w:val="center"/>
        </w:trPr>
        <w:tc>
          <w:tcPr>
            <w:tcW w:w="4810" w:type="dxa"/>
            <w:tcBorders>
              <w:top w:val="single" w:sz="8" w:space="0" w:color="FFFFFF"/>
              <w:left w:val="single" w:sz="8" w:space="0" w:color="FFFFFF"/>
              <w:bottom w:val="single" w:sz="8" w:space="0" w:color="FFFFFF"/>
              <w:right w:val="single" w:sz="8" w:space="0" w:color="FFFFFF"/>
            </w:tcBorders>
            <w:shd w:val="clear" w:color="auto" w:fill="auto"/>
            <w:tcMar>
              <w:top w:w="0" w:type="dxa"/>
              <w:left w:w="108" w:type="dxa"/>
              <w:bottom w:w="0" w:type="dxa"/>
              <w:right w:w="108" w:type="dxa"/>
            </w:tcMar>
            <w:hideMark/>
          </w:tcPr>
          <w:p w:rsidR="00A947F9" w:rsidRDefault="00A947F9">
            <w:pPr>
              <w:pStyle w:val="NormalWeb"/>
              <w:jc w:val="center"/>
            </w:pPr>
            <w:r>
              <w:rPr>
                <w:rFonts w:ascii="Calibri" w:eastAsia="Times New Roman" w:hAnsi="Calibri" w:cs="Calibri"/>
                <w:b/>
                <w:bCs/>
                <w:color w:val="0070C0"/>
                <w:szCs w:val="20"/>
                <w:u w:val="single"/>
              </w:rPr>
              <w:t>COMMUNICATION FOCUSES</w:t>
            </w:r>
          </w:p>
          <w:p w:rsidR="00A947F9" w:rsidRDefault="00A947F9">
            <w:pPr>
              <w:pStyle w:val="NormalWeb"/>
              <w:jc w:val="center"/>
            </w:pPr>
            <w:r>
              <w:rPr>
                <w:rFonts w:ascii="Calibri" w:eastAsia="Times New Roman" w:hAnsi="Calibri" w:cs="Calibri"/>
              </w:rPr>
              <w:t> </w:t>
            </w:r>
          </w:p>
          <w:p w:rsidR="00A947F9" w:rsidRDefault="00A947F9">
            <w:pPr>
              <w:pStyle w:val="NormalWeb"/>
              <w:jc w:val="center"/>
            </w:pPr>
            <w:proofErr w:type="gramStart"/>
            <w:r>
              <w:rPr>
                <w:rFonts w:ascii="Calibri" w:eastAsia="Times New Roman" w:hAnsi="Calibri" w:cs="Calibri"/>
                <w:color w:val="0070C0"/>
                <w:szCs w:val="20"/>
              </w:rPr>
              <w:t>Look back at your books this half term…is the presentation of work consistently good?</w:t>
            </w:r>
            <w:proofErr w:type="gramEnd"/>
          </w:p>
        </w:tc>
        <w:tc>
          <w:tcPr>
            <w:tcW w:w="3846" w:type="dxa"/>
            <w:tcBorders>
              <w:top w:val="single" w:sz="8" w:space="0" w:color="FFFFFF"/>
              <w:left w:val="nil"/>
              <w:bottom w:val="single" w:sz="8" w:space="0" w:color="FFFFFF"/>
              <w:right w:val="single" w:sz="8" w:space="0" w:color="FFFFFF"/>
            </w:tcBorders>
            <w:shd w:val="clear" w:color="auto" w:fill="auto"/>
            <w:tcMar>
              <w:top w:w="0" w:type="dxa"/>
              <w:left w:w="108" w:type="dxa"/>
              <w:bottom w:w="0" w:type="dxa"/>
              <w:right w:w="108" w:type="dxa"/>
            </w:tcMar>
            <w:hideMark/>
          </w:tcPr>
          <w:p w:rsidR="00A947F9" w:rsidRDefault="00A947F9">
            <w:pPr>
              <w:pStyle w:val="NormalWeb"/>
              <w:jc w:val="center"/>
            </w:pPr>
            <w:r>
              <w:rPr>
                <w:rFonts w:ascii="Calibri" w:eastAsia="Times New Roman" w:hAnsi="Calibri" w:cs="Calibri"/>
                <w:b/>
                <w:bCs/>
                <w:color w:val="0070C0"/>
                <w:szCs w:val="20"/>
                <w:u w:val="single"/>
              </w:rPr>
              <w:t>INCLUSION FOR ALL</w:t>
            </w:r>
          </w:p>
          <w:p w:rsidR="00A947F9" w:rsidRDefault="00A947F9">
            <w:pPr>
              <w:pStyle w:val="NormalWeb"/>
            </w:pPr>
            <w:r>
              <w:rPr>
                <w:rFonts w:ascii="Calibri" w:eastAsia="Times New Roman" w:hAnsi="Calibri" w:cs="Calibri"/>
                <w:color w:val="0070C0"/>
                <w:szCs w:val="20"/>
              </w:rPr>
              <w:t> </w:t>
            </w:r>
          </w:p>
          <w:p w:rsidR="00A947F9" w:rsidRDefault="00A947F9">
            <w:pPr>
              <w:pStyle w:val="NormalWeb"/>
              <w:jc w:val="center"/>
            </w:pPr>
            <w:r>
              <w:rPr>
                <w:rFonts w:ascii="Calibri" w:eastAsia="Times New Roman" w:hAnsi="Calibri" w:cs="Calibri"/>
                <w:color w:val="0070C0"/>
              </w:rPr>
              <w:t xml:space="preserve">Use the ‘thought for the week’ to spark discussion – </w:t>
            </w:r>
            <w:proofErr w:type="gramStart"/>
            <w:r>
              <w:rPr>
                <w:rFonts w:ascii="Calibri" w:eastAsia="Times New Roman" w:hAnsi="Calibri" w:cs="Calibri"/>
                <w:color w:val="0070C0"/>
              </w:rPr>
              <w:t>don’t</w:t>
            </w:r>
            <w:proofErr w:type="gramEnd"/>
            <w:r>
              <w:rPr>
                <w:rFonts w:ascii="Calibri" w:eastAsia="Times New Roman" w:hAnsi="Calibri" w:cs="Calibri"/>
                <w:color w:val="0070C0"/>
              </w:rPr>
              <w:t xml:space="preserve"> just read out the thought from notices.   </w:t>
            </w:r>
          </w:p>
        </w:tc>
      </w:tr>
    </w:tbl>
    <w:p w:rsidR="00A947F9" w:rsidRDefault="00A947F9" w:rsidP="00A947F9">
      <w:pPr>
        <w:pStyle w:val="NormalWeb"/>
        <w:shd w:val="clear" w:color="auto" w:fill="FFFFFF"/>
        <w:rPr>
          <w:rFonts w:ascii="Arial" w:hAnsi="Arial" w:cs="Arial"/>
          <w:color w:val="000000"/>
        </w:rPr>
      </w:pPr>
      <w:r>
        <w:rPr>
          <w:rFonts w:ascii="Arial" w:eastAsia="Times New Roman" w:hAnsi="Arial" w:cs="Arial"/>
          <w:color w:val="000000"/>
          <w:shd w:val="clear" w:color="auto" w:fill="FFFFFF"/>
        </w:rPr>
        <w:t> </w:t>
      </w:r>
    </w:p>
    <w:p w:rsidR="00A947F9" w:rsidRDefault="00A947F9" w:rsidP="00A947F9">
      <w:pPr>
        <w:pStyle w:val="NormalWeb"/>
        <w:shd w:val="clear" w:color="auto" w:fill="FFFFFF"/>
        <w:rPr>
          <w:rFonts w:ascii="Arial" w:hAnsi="Arial" w:cs="Arial"/>
          <w:color w:val="000000"/>
        </w:rPr>
      </w:pPr>
      <w:r>
        <w:rPr>
          <w:rFonts w:ascii="Calibri" w:eastAsia="Times New Roman" w:hAnsi="Calibri" w:cs="Calibri"/>
          <w:b/>
          <w:bCs/>
          <w:color w:val="C45911"/>
          <w:shd w:val="clear" w:color="auto" w:fill="FFFFFF"/>
        </w:rPr>
        <w:t> </w:t>
      </w:r>
    </w:p>
    <w:p w:rsidR="00A947F9" w:rsidRDefault="00A947F9" w:rsidP="00A947F9">
      <w:pPr>
        <w:pStyle w:val="NormalWeb"/>
        <w:shd w:val="clear" w:color="auto" w:fill="FFFFFF"/>
        <w:rPr>
          <w:rFonts w:ascii="Arial" w:hAnsi="Arial" w:cs="Arial"/>
          <w:color w:val="000000"/>
        </w:rPr>
      </w:pPr>
      <w:r>
        <w:rPr>
          <w:rFonts w:ascii="Calibri" w:eastAsia="Times New Roman" w:hAnsi="Calibri" w:cs="Calibri"/>
          <w:b/>
          <w:bCs/>
          <w:color w:val="C45911"/>
          <w:u w:val="single"/>
          <w:shd w:val="clear" w:color="auto" w:fill="FFFFFF"/>
        </w:rPr>
        <w:t>This week:</w:t>
      </w:r>
    </w:p>
    <w:p w:rsidR="00A947F9" w:rsidRDefault="00A947F9" w:rsidP="00A947F9">
      <w:pPr>
        <w:numPr>
          <w:ilvl w:val="0"/>
          <w:numId w:val="1"/>
        </w:numPr>
        <w:shd w:val="clear" w:color="auto" w:fill="FFFFFF"/>
        <w:spacing w:before="100" w:beforeAutospacing="1" w:after="100" w:afterAutospacing="1"/>
        <w:jc w:val="both"/>
        <w:rPr>
          <w:rFonts w:ascii="Arial" w:eastAsia="Times New Roman" w:hAnsi="Arial" w:cs="Arial"/>
          <w:color w:val="000000"/>
        </w:rPr>
      </w:pPr>
      <w:r>
        <w:rPr>
          <w:rFonts w:ascii="Calibri" w:eastAsia="Times New Roman" w:hAnsi="Calibri" w:cs="Calibri"/>
          <w:color w:val="D05C12"/>
          <w:shd w:val="clear" w:color="auto" w:fill="FFFFFF"/>
        </w:rPr>
        <w:t>The </w:t>
      </w:r>
      <w:r>
        <w:rPr>
          <w:rFonts w:ascii="Calibri" w:eastAsia="Times New Roman" w:hAnsi="Calibri" w:cs="Calibri"/>
          <w:b/>
          <w:bCs/>
          <w:color w:val="FF0000"/>
          <w:shd w:val="clear" w:color="auto" w:fill="FFFFFF"/>
        </w:rPr>
        <w:t>thought for the week</w:t>
      </w:r>
      <w:r>
        <w:rPr>
          <w:rFonts w:ascii="Calibri" w:eastAsia="Times New Roman" w:hAnsi="Calibri" w:cs="Calibri"/>
          <w:color w:val="D05C12"/>
          <w:shd w:val="clear" w:color="auto" w:fill="FFFFFF"/>
        </w:rPr>
        <w:t> this week is </w:t>
      </w:r>
      <w:r>
        <w:rPr>
          <w:rFonts w:ascii="Calibri" w:eastAsia="Times New Roman" w:hAnsi="Calibri" w:cs="Calibri"/>
          <w:b/>
          <w:bCs/>
          <w:color w:val="D05C12"/>
          <w:shd w:val="clear" w:color="auto" w:fill="FFFFFF"/>
        </w:rPr>
        <w:t xml:space="preserve">Mental Health.  </w:t>
      </w:r>
      <w:r>
        <w:rPr>
          <w:rFonts w:ascii="Calibri" w:eastAsia="Times New Roman" w:hAnsi="Calibri" w:cs="Calibri"/>
          <w:bCs/>
          <w:color w:val="D05C12"/>
          <w:shd w:val="clear" w:color="auto" w:fill="FFFFFF"/>
        </w:rPr>
        <w:t xml:space="preserve">This issue is prevalent and mental illness is believed to affect </w:t>
      </w:r>
      <w:proofErr w:type="gramStart"/>
      <w:r>
        <w:rPr>
          <w:rFonts w:ascii="Calibri" w:eastAsia="Times New Roman" w:hAnsi="Calibri" w:cs="Calibri"/>
          <w:bCs/>
          <w:color w:val="D05C12"/>
          <w:shd w:val="clear" w:color="auto" w:fill="FFFFFF"/>
        </w:rPr>
        <w:t>1</w:t>
      </w:r>
      <w:proofErr w:type="gramEnd"/>
      <w:r>
        <w:rPr>
          <w:rFonts w:ascii="Calibri" w:eastAsia="Times New Roman" w:hAnsi="Calibri" w:cs="Calibri"/>
          <w:bCs/>
          <w:color w:val="D05C12"/>
          <w:shd w:val="clear" w:color="auto" w:fill="FFFFFF"/>
        </w:rPr>
        <w:t xml:space="preserve"> in 4 of young people and adults.</w:t>
      </w:r>
      <w:r>
        <w:rPr>
          <w:rFonts w:ascii="Calibri" w:eastAsia="Times New Roman" w:hAnsi="Calibri" w:cs="Calibri"/>
          <w:b/>
          <w:bCs/>
          <w:color w:val="D05C12"/>
          <w:shd w:val="clear" w:color="auto" w:fill="FFFFFF"/>
        </w:rPr>
        <w:t xml:space="preserve"> </w:t>
      </w:r>
      <w:r>
        <w:rPr>
          <w:rFonts w:ascii="Calibri" w:eastAsia="Times New Roman" w:hAnsi="Calibri" w:cs="Calibri"/>
          <w:bCs/>
          <w:color w:val="D05C12"/>
          <w:shd w:val="clear" w:color="auto" w:fill="FFFFFF"/>
        </w:rPr>
        <w:t xml:space="preserve">Materials </w:t>
      </w:r>
      <w:proofErr w:type="gramStart"/>
      <w:r>
        <w:rPr>
          <w:rFonts w:ascii="Calibri" w:eastAsia="Times New Roman" w:hAnsi="Calibri" w:cs="Calibri"/>
          <w:bCs/>
          <w:color w:val="D05C12"/>
          <w:shd w:val="clear" w:color="auto" w:fill="FFFFFF"/>
        </w:rPr>
        <w:t>have been sent</w:t>
      </w:r>
      <w:proofErr w:type="gramEnd"/>
      <w:r>
        <w:rPr>
          <w:rFonts w:ascii="Calibri" w:eastAsia="Times New Roman" w:hAnsi="Calibri" w:cs="Calibri"/>
          <w:bCs/>
          <w:color w:val="D05C12"/>
          <w:shd w:val="clear" w:color="auto" w:fill="FFFFFF"/>
        </w:rPr>
        <w:t xml:space="preserve"> in registers and by email.  </w:t>
      </w:r>
    </w:p>
    <w:p w:rsidR="00A947F9" w:rsidRDefault="00A947F9" w:rsidP="00A947F9">
      <w:pPr>
        <w:numPr>
          <w:ilvl w:val="0"/>
          <w:numId w:val="1"/>
        </w:numPr>
        <w:shd w:val="clear" w:color="auto" w:fill="FFFFFF"/>
        <w:spacing w:before="100" w:beforeAutospacing="1" w:after="100" w:afterAutospacing="1"/>
        <w:jc w:val="both"/>
        <w:rPr>
          <w:rFonts w:ascii="Arial" w:eastAsia="Times New Roman" w:hAnsi="Arial" w:cs="Arial"/>
          <w:color w:val="000000"/>
        </w:rPr>
      </w:pPr>
      <w:r>
        <w:rPr>
          <w:rFonts w:ascii="Calibri" w:eastAsia="Times New Roman" w:hAnsi="Calibri" w:cs="Calibri"/>
          <w:b/>
          <w:color w:val="FF0000"/>
          <w:shd w:val="clear" w:color="auto" w:fill="FFFFFF"/>
        </w:rPr>
        <w:t xml:space="preserve">New staff and NQTs – </w:t>
      </w:r>
      <w:r>
        <w:rPr>
          <w:rFonts w:ascii="Calibri" w:eastAsia="Times New Roman" w:hAnsi="Calibri" w:cs="Calibri"/>
          <w:color w:val="C45911" w:themeColor="accent2" w:themeShade="BF"/>
          <w:shd w:val="clear" w:color="auto" w:fill="FFFFFF"/>
        </w:rPr>
        <w:t xml:space="preserve">CPD session on behaviour management will run this Thursday lunch time (for those who missed it last Friday) with A. Snape in D1.  </w:t>
      </w:r>
    </w:p>
    <w:p w:rsidR="00A947F9" w:rsidRDefault="00A947F9" w:rsidP="00A947F9">
      <w:pPr>
        <w:numPr>
          <w:ilvl w:val="0"/>
          <w:numId w:val="1"/>
        </w:numPr>
        <w:shd w:val="clear" w:color="auto" w:fill="FFFFFF"/>
        <w:spacing w:before="100" w:beforeAutospacing="1" w:after="100" w:afterAutospacing="1"/>
        <w:jc w:val="both"/>
        <w:rPr>
          <w:rFonts w:ascii="Arial" w:eastAsia="Times New Roman" w:hAnsi="Arial" w:cs="Arial"/>
          <w:color w:val="C45911" w:themeColor="accent2" w:themeShade="BF"/>
        </w:rPr>
      </w:pPr>
      <w:r>
        <w:rPr>
          <w:rFonts w:ascii="Calibri" w:eastAsia="Times New Roman" w:hAnsi="Calibri" w:cs="Calibri"/>
          <w:b/>
          <w:color w:val="FF0000"/>
        </w:rPr>
        <w:t>NQTs</w:t>
      </w:r>
      <w:r>
        <w:rPr>
          <w:rFonts w:ascii="Calibri" w:eastAsia="Times New Roman" w:hAnsi="Calibri" w:cs="Calibri"/>
          <w:color w:val="FF0000"/>
        </w:rPr>
        <w:t xml:space="preserve"> </w:t>
      </w:r>
      <w:r>
        <w:rPr>
          <w:rFonts w:ascii="Calibri" w:eastAsia="Times New Roman" w:hAnsi="Calibri" w:cs="Calibri"/>
          <w:color w:val="C45911" w:themeColor="accent2" w:themeShade="BF"/>
        </w:rPr>
        <w:t xml:space="preserve">– scheduled meetings with LG this week (LG’s office) unless this coincides with student shadowing activity (timetables from LG). </w:t>
      </w:r>
    </w:p>
    <w:p w:rsidR="00A947F9" w:rsidRDefault="00A947F9" w:rsidP="00A947F9">
      <w:pPr>
        <w:numPr>
          <w:ilvl w:val="0"/>
          <w:numId w:val="1"/>
        </w:numPr>
        <w:shd w:val="clear" w:color="auto" w:fill="FFFFFF"/>
        <w:spacing w:before="100" w:beforeAutospacing="1" w:after="100" w:afterAutospacing="1"/>
        <w:jc w:val="both"/>
        <w:rPr>
          <w:rFonts w:ascii="Arial" w:eastAsia="Times New Roman" w:hAnsi="Arial" w:cs="Arial"/>
          <w:b/>
          <w:bCs/>
          <w:color w:val="00B050"/>
        </w:rPr>
      </w:pPr>
      <w:r>
        <w:rPr>
          <w:rFonts w:ascii="Calibri" w:eastAsia="Times New Roman" w:hAnsi="Calibri" w:cs="Calibri"/>
          <w:b/>
          <w:color w:val="FF0000"/>
        </w:rPr>
        <w:t xml:space="preserve">Reminders: </w:t>
      </w:r>
    </w:p>
    <w:p w:rsidR="00A947F9" w:rsidRDefault="00A947F9" w:rsidP="00A947F9">
      <w:pPr>
        <w:numPr>
          <w:ilvl w:val="1"/>
          <w:numId w:val="1"/>
        </w:numPr>
        <w:shd w:val="clear" w:color="auto" w:fill="FFFFFF"/>
        <w:spacing w:before="100" w:beforeAutospacing="1" w:after="100" w:afterAutospacing="1"/>
        <w:jc w:val="both"/>
        <w:rPr>
          <w:rFonts w:ascii="Arial" w:eastAsia="Times New Roman" w:hAnsi="Arial" w:cs="Arial"/>
          <w:b/>
          <w:bCs/>
          <w:color w:val="00B050"/>
        </w:rPr>
      </w:pPr>
      <w:r>
        <w:rPr>
          <w:rFonts w:ascii="Calibri" w:eastAsia="Times New Roman" w:hAnsi="Calibri" w:cs="Calibri"/>
          <w:b/>
          <w:color w:val="FF0000"/>
        </w:rPr>
        <w:t xml:space="preserve">Study Groups </w:t>
      </w:r>
      <w:r>
        <w:rPr>
          <w:rFonts w:ascii="Calibri" w:eastAsia="Times New Roman" w:hAnsi="Calibri" w:cs="Calibri"/>
          <w:b/>
          <w:bCs/>
          <w:color w:val="C45911" w:themeColor="accent2" w:themeShade="BF"/>
        </w:rPr>
        <w:t xml:space="preserve">– these are now on the way.  Please ensure that you log any time spent on </w:t>
      </w:r>
      <w:proofErr w:type="gramStart"/>
      <w:r>
        <w:rPr>
          <w:rFonts w:ascii="Calibri" w:eastAsia="Times New Roman" w:hAnsi="Calibri" w:cs="Calibri"/>
          <w:b/>
          <w:bCs/>
          <w:color w:val="C45911" w:themeColor="accent2" w:themeShade="BF"/>
        </w:rPr>
        <w:t>this</w:t>
      </w:r>
      <w:proofErr w:type="gramEnd"/>
      <w:r>
        <w:rPr>
          <w:rFonts w:ascii="Calibri" w:eastAsia="Times New Roman" w:hAnsi="Calibri" w:cs="Calibri"/>
          <w:b/>
          <w:bCs/>
          <w:color w:val="C45911" w:themeColor="accent2" w:themeShade="BF"/>
        </w:rPr>
        <w:t xml:space="preserve"> as you will need to account for it at the end.   </w:t>
      </w:r>
      <w:r>
        <w:rPr>
          <w:rFonts w:eastAsia="Times New Roman"/>
          <w:b/>
          <w:bCs/>
          <w:color w:val="00B050"/>
        </w:rPr>
        <w:t xml:space="preserve"> </w:t>
      </w:r>
    </w:p>
    <w:p w:rsidR="00A947F9" w:rsidRDefault="00A947F9" w:rsidP="00A947F9">
      <w:pPr>
        <w:numPr>
          <w:ilvl w:val="1"/>
          <w:numId w:val="1"/>
        </w:numPr>
        <w:shd w:val="clear" w:color="auto" w:fill="FFFFFF"/>
        <w:spacing w:before="100" w:beforeAutospacing="1" w:after="100" w:afterAutospacing="1"/>
        <w:jc w:val="both"/>
        <w:rPr>
          <w:rFonts w:ascii="Arial" w:eastAsia="Times New Roman" w:hAnsi="Arial" w:cs="Arial"/>
          <w:color w:val="C45911" w:themeColor="accent2" w:themeShade="BF"/>
        </w:rPr>
      </w:pPr>
      <w:r>
        <w:rPr>
          <w:rFonts w:ascii="Calibri" w:eastAsia="Times New Roman" w:hAnsi="Calibri" w:cs="Calibri"/>
          <w:b/>
          <w:color w:val="FF0000"/>
        </w:rPr>
        <w:t>1</w:t>
      </w:r>
      <w:r>
        <w:rPr>
          <w:rFonts w:ascii="Calibri" w:eastAsia="Times New Roman" w:hAnsi="Calibri" w:cs="Calibri"/>
          <w:b/>
          <w:color w:val="FF0000"/>
          <w:vertAlign w:val="superscript"/>
        </w:rPr>
        <w:t>st</w:t>
      </w:r>
      <w:r>
        <w:rPr>
          <w:rFonts w:ascii="Calibri" w:eastAsia="Times New Roman" w:hAnsi="Calibri" w:cs="Calibri"/>
          <w:b/>
          <w:color w:val="FF0000"/>
        </w:rPr>
        <w:t xml:space="preserve"> November </w:t>
      </w:r>
      <w:r>
        <w:rPr>
          <w:rFonts w:ascii="Calibri" w:eastAsia="Times New Roman" w:hAnsi="Calibri" w:cs="Calibri"/>
          <w:color w:val="ED7D31" w:themeColor="accent2"/>
        </w:rPr>
        <w:t>– Staff meeting – PP Review feedback</w:t>
      </w:r>
      <w:r>
        <w:rPr>
          <w:rFonts w:eastAsia="Times New Roman"/>
          <w:color w:val="C45911" w:themeColor="accent2" w:themeShade="BF"/>
        </w:rPr>
        <w:t xml:space="preserve"> </w:t>
      </w:r>
    </w:p>
    <w:p w:rsidR="00A947F9" w:rsidRDefault="00A947F9" w:rsidP="00A947F9">
      <w:pPr>
        <w:pStyle w:val="NormalWeb"/>
        <w:shd w:val="clear" w:color="auto" w:fill="FFFFFF"/>
        <w:spacing w:before="100" w:beforeAutospacing="1" w:after="100" w:afterAutospacing="1"/>
        <w:jc w:val="both"/>
        <w:rPr>
          <w:rFonts w:ascii="Arial" w:hAnsi="Arial" w:cs="Arial"/>
          <w:color w:val="000000"/>
        </w:rPr>
      </w:pPr>
      <w:r>
        <w:rPr>
          <w:rFonts w:ascii="Calibri" w:eastAsia="Times New Roman" w:hAnsi="Calibri" w:cs="Calibri"/>
          <w:b/>
          <w:color w:val="00B050"/>
          <w:u w:val="single"/>
        </w:rPr>
        <w:t>Teaching Approach of the Week - Reflection</w:t>
      </w:r>
    </w:p>
    <w:p w:rsidR="00A947F9" w:rsidRDefault="00A947F9" w:rsidP="00A947F9">
      <w:pPr>
        <w:pStyle w:val="NormalWeb"/>
        <w:shd w:val="clear" w:color="auto" w:fill="FFFFFF"/>
        <w:spacing w:before="100" w:beforeAutospacing="1" w:after="100" w:afterAutospacing="1"/>
        <w:jc w:val="both"/>
        <w:rPr>
          <w:rFonts w:ascii="Arial" w:hAnsi="Arial" w:cs="Arial"/>
          <w:color w:val="000000"/>
        </w:rPr>
      </w:pPr>
      <w:r>
        <w:rPr>
          <w:noProof/>
          <w:color w:val="000000"/>
        </w:rPr>
        <w:drawing>
          <wp:inline distT="0" distB="0" distL="0" distR="0">
            <wp:extent cx="3569970" cy="2449195"/>
            <wp:effectExtent l="0" t="0" r="0" b="8255"/>
            <wp:docPr id="3" name="Picture 3" descr="cid:6c8a95c0-2175-46dd-b891-4edef8085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74295" descr="cid:6c8a95c0-2175-46dd-b891-4edef8085da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569970" cy="2449195"/>
                    </a:xfrm>
                    <a:prstGeom prst="rect">
                      <a:avLst/>
                    </a:prstGeom>
                    <a:noFill/>
                    <a:ln>
                      <a:noFill/>
                    </a:ln>
                  </pic:spPr>
                </pic:pic>
              </a:graphicData>
            </a:graphic>
          </wp:inline>
        </w:drawing>
      </w:r>
    </w:p>
    <w:p w:rsidR="00A947F9" w:rsidRDefault="00A947F9" w:rsidP="00A947F9">
      <w:pPr>
        <w:pStyle w:val="NormalWeb"/>
        <w:shd w:val="clear" w:color="auto" w:fill="FFFFFF"/>
        <w:spacing w:before="100" w:beforeAutospacing="1" w:after="100" w:afterAutospacing="1"/>
        <w:jc w:val="both"/>
        <w:rPr>
          <w:rFonts w:ascii="Arial" w:hAnsi="Arial" w:cs="Arial"/>
          <w:color w:val="000000"/>
        </w:rPr>
      </w:pPr>
      <w:r>
        <w:rPr>
          <w:rFonts w:ascii="Calibri" w:eastAsia="Times New Roman" w:hAnsi="Calibri" w:cs="Calibri"/>
          <w:b/>
          <w:bCs/>
          <w:color w:val="00B050"/>
          <w:szCs w:val="22"/>
          <w:shd w:val="clear" w:color="auto" w:fill="FFFFFF"/>
        </w:rPr>
        <w:t> </w:t>
      </w:r>
      <w:r>
        <w:rPr>
          <w:rFonts w:eastAsia="Times New Roman"/>
          <w:b/>
          <w:bCs/>
          <w:color w:val="7030A0"/>
          <w:szCs w:val="22"/>
          <w:shd w:val="clear" w:color="auto" w:fill="FFFFFF"/>
        </w:rPr>
        <w:t xml:space="preserve"> </w:t>
      </w:r>
    </w:p>
    <w:p w:rsidR="00A947F9" w:rsidRDefault="00A947F9" w:rsidP="00A947F9">
      <w:pPr>
        <w:pStyle w:val="NormalWeb"/>
        <w:shd w:val="clear" w:color="auto" w:fill="FFFFFF"/>
        <w:jc w:val="both"/>
        <w:rPr>
          <w:rFonts w:ascii="Arial" w:hAnsi="Arial" w:cs="Arial"/>
          <w:color w:val="000000"/>
        </w:rPr>
      </w:pPr>
      <w:proofErr w:type="gramStart"/>
      <w:r>
        <w:rPr>
          <w:rFonts w:ascii="Calibri" w:eastAsia="Times New Roman" w:hAnsi="Calibri" w:cs="Calibri"/>
          <w:bCs/>
          <w:color w:val="00B050"/>
          <w:szCs w:val="22"/>
          <w:shd w:val="clear" w:color="auto" w:fill="FFFFFF"/>
        </w:rPr>
        <w:t>So</w:t>
      </w:r>
      <w:proofErr w:type="gramEnd"/>
      <w:r>
        <w:rPr>
          <w:rFonts w:ascii="Calibri" w:eastAsia="Times New Roman" w:hAnsi="Calibri" w:cs="Calibri"/>
          <w:bCs/>
          <w:color w:val="00B050"/>
          <w:szCs w:val="22"/>
          <w:shd w:val="clear" w:color="auto" w:fill="FFFFFF"/>
        </w:rPr>
        <w:t xml:space="preserve"> over the last six weeks, we have (hopefully) been using our ‘Toolkit’ to enhance teaching and learning within our classrooms.  This is </w:t>
      </w:r>
      <w:proofErr w:type="gramStart"/>
      <w:r>
        <w:rPr>
          <w:rFonts w:ascii="Calibri" w:eastAsia="Times New Roman" w:hAnsi="Calibri" w:cs="Calibri"/>
          <w:bCs/>
          <w:color w:val="00B050"/>
          <w:szCs w:val="22"/>
          <w:shd w:val="clear" w:color="auto" w:fill="FFFFFF"/>
        </w:rPr>
        <w:t>our mantra, our policy and what we expect to see when we walk around school</w:t>
      </w:r>
      <w:proofErr w:type="gramEnd"/>
      <w:r>
        <w:rPr>
          <w:rFonts w:ascii="Calibri" w:eastAsia="Times New Roman" w:hAnsi="Calibri" w:cs="Calibri"/>
          <w:bCs/>
          <w:color w:val="00B050"/>
          <w:szCs w:val="22"/>
          <w:shd w:val="clear" w:color="auto" w:fill="FFFFFF"/>
        </w:rPr>
        <w:t xml:space="preserve">.  </w:t>
      </w:r>
    </w:p>
    <w:p w:rsidR="00A947F9" w:rsidRDefault="00A947F9" w:rsidP="00A947F9">
      <w:pPr>
        <w:pStyle w:val="NormalWeb"/>
        <w:shd w:val="clear" w:color="auto" w:fill="FFFFFF"/>
        <w:jc w:val="both"/>
        <w:rPr>
          <w:rFonts w:ascii="Arial" w:hAnsi="Arial" w:cs="Arial"/>
          <w:color w:val="000000"/>
        </w:rPr>
      </w:pPr>
      <w:r>
        <w:rPr>
          <w:rFonts w:ascii="Calibri" w:eastAsia="Times New Roman" w:hAnsi="Calibri" w:cs="Calibri"/>
          <w:bCs/>
          <w:color w:val="00B050"/>
          <w:szCs w:val="22"/>
          <w:shd w:val="clear" w:color="auto" w:fill="FFFFFF"/>
        </w:rPr>
        <w:t> </w:t>
      </w:r>
    </w:p>
    <w:p w:rsidR="00A947F9" w:rsidRDefault="00A947F9" w:rsidP="00A947F9">
      <w:pPr>
        <w:pStyle w:val="NormalWeb"/>
        <w:shd w:val="clear" w:color="auto" w:fill="FFFFFF"/>
        <w:jc w:val="both"/>
        <w:rPr>
          <w:rFonts w:ascii="Arial" w:hAnsi="Arial" w:cs="Arial"/>
          <w:color w:val="000000"/>
        </w:rPr>
      </w:pPr>
      <w:r>
        <w:rPr>
          <w:rFonts w:ascii="Calibri" w:eastAsia="Times New Roman" w:hAnsi="Calibri" w:cs="Calibri"/>
          <w:bCs/>
          <w:color w:val="00B050"/>
          <w:szCs w:val="22"/>
          <w:shd w:val="clear" w:color="auto" w:fill="FFFFFF"/>
        </w:rPr>
        <w:lastRenderedPageBreak/>
        <w:t xml:space="preserve">If we look at the focuses (priorities), where would you be able to evidence that you have tried them in your teaching over the last six </w:t>
      </w:r>
      <w:proofErr w:type="gramStart"/>
      <w:r>
        <w:rPr>
          <w:rFonts w:ascii="Calibri" w:eastAsia="Times New Roman" w:hAnsi="Calibri" w:cs="Calibri"/>
          <w:bCs/>
          <w:color w:val="00B050"/>
          <w:szCs w:val="22"/>
          <w:shd w:val="clear" w:color="auto" w:fill="FFFFFF"/>
        </w:rPr>
        <w:t>weeks:</w:t>
      </w:r>
      <w:proofErr w:type="gramEnd"/>
    </w:p>
    <w:p w:rsidR="00A947F9" w:rsidRDefault="00A947F9" w:rsidP="00A947F9">
      <w:pPr>
        <w:pStyle w:val="NormalWeb"/>
        <w:numPr>
          <w:ilvl w:val="0"/>
          <w:numId w:val="2"/>
        </w:numPr>
        <w:shd w:val="clear" w:color="auto" w:fill="FFFFFF"/>
        <w:contextualSpacing/>
        <w:jc w:val="both"/>
        <w:rPr>
          <w:rFonts w:ascii="Arial" w:hAnsi="Arial" w:cs="Arial"/>
          <w:color w:val="000000"/>
          <w:sz w:val="22"/>
          <w:szCs w:val="22"/>
        </w:rPr>
      </w:pPr>
      <w:r>
        <w:rPr>
          <w:rFonts w:ascii="Arial" w:eastAsia="Times New Roman" w:hAnsi="Arial" w:cstheme="minorHAnsi"/>
          <w:b/>
          <w:bCs/>
          <w:color w:val="00B050"/>
          <w:szCs w:val="22"/>
          <w:shd w:val="clear" w:color="auto" w:fill="FFFFFF"/>
        </w:rPr>
        <w:t>Stretch and challenge</w:t>
      </w:r>
      <w:r>
        <w:rPr>
          <w:rFonts w:ascii="Arial" w:eastAsia="Times New Roman" w:hAnsi="Arial" w:cstheme="minorHAnsi"/>
          <w:bCs/>
          <w:color w:val="00B050"/>
          <w:szCs w:val="22"/>
          <w:shd w:val="clear" w:color="auto" w:fill="FFFFFF"/>
        </w:rPr>
        <w:t xml:space="preserve"> – where have you tried ‘but, because, so’ or ‘pose-pause-pounce-bounce’?</w:t>
      </w:r>
    </w:p>
    <w:p w:rsidR="00A947F9" w:rsidRDefault="00A947F9" w:rsidP="00A947F9">
      <w:pPr>
        <w:pStyle w:val="NormalWeb"/>
        <w:numPr>
          <w:ilvl w:val="0"/>
          <w:numId w:val="2"/>
        </w:numPr>
        <w:shd w:val="clear" w:color="auto" w:fill="FFFFFF"/>
        <w:contextualSpacing/>
        <w:jc w:val="both"/>
        <w:rPr>
          <w:rFonts w:ascii="Calibri" w:hAnsi="Calibri" w:cs="Calibri"/>
          <w:color w:val="000000"/>
          <w:sz w:val="22"/>
          <w:szCs w:val="22"/>
        </w:rPr>
      </w:pPr>
      <w:proofErr w:type="gramStart"/>
      <w:r>
        <w:rPr>
          <w:rFonts w:ascii="Calibri" w:eastAsia="Times New Roman" w:hAnsi="Calibri" w:cstheme="minorHAnsi"/>
          <w:b/>
          <w:bCs/>
          <w:color w:val="00B050"/>
          <w:szCs w:val="22"/>
          <w:shd w:val="clear" w:color="auto" w:fill="FFFFFF"/>
        </w:rPr>
        <w:t>Understanding from memory</w:t>
      </w:r>
      <w:r>
        <w:rPr>
          <w:rFonts w:ascii="Calibri" w:eastAsia="Times New Roman" w:hAnsi="Calibri" w:cstheme="minorHAnsi"/>
          <w:bCs/>
          <w:color w:val="00B050"/>
          <w:szCs w:val="22"/>
          <w:shd w:val="clear" w:color="auto" w:fill="FFFFFF"/>
        </w:rPr>
        <w:t xml:space="preserve"> – where have you used mini-whiteboards, flashcards </w:t>
      </w:r>
      <w:proofErr w:type="spellStart"/>
      <w:r>
        <w:rPr>
          <w:rFonts w:ascii="Calibri" w:eastAsia="Times New Roman" w:hAnsi="Calibri" w:cstheme="minorHAnsi"/>
          <w:bCs/>
          <w:color w:val="00B050"/>
          <w:szCs w:val="22"/>
          <w:shd w:val="clear" w:color="auto" w:fill="FFFFFF"/>
        </w:rPr>
        <w:t>etc</w:t>
      </w:r>
      <w:proofErr w:type="spellEnd"/>
      <w:r>
        <w:rPr>
          <w:rFonts w:ascii="Calibri" w:eastAsia="Times New Roman" w:hAnsi="Calibri" w:cstheme="minorHAnsi"/>
          <w:bCs/>
          <w:color w:val="00B050"/>
          <w:szCs w:val="22"/>
          <w:shd w:val="clear" w:color="auto" w:fill="FFFFFF"/>
        </w:rPr>
        <w:t>?</w:t>
      </w:r>
      <w:proofErr w:type="gramEnd"/>
    </w:p>
    <w:p w:rsidR="00A947F9" w:rsidRDefault="00A947F9" w:rsidP="00A947F9">
      <w:pPr>
        <w:pStyle w:val="NormalWeb"/>
        <w:numPr>
          <w:ilvl w:val="0"/>
          <w:numId w:val="2"/>
        </w:numPr>
        <w:shd w:val="clear" w:color="auto" w:fill="FFFFFF"/>
        <w:contextualSpacing/>
        <w:jc w:val="both"/>
        <w:rPr>
          <w:rFonts w:ascii="Calibri" w:hAnsi="Calibri" w:cs="Calibri"/>
          <w:color w:val="000000"/>
          <w:sz w:val="22"/>
          <w:szCs w:val="22"/>
        </w:rPr>
      </w:pPr>
      <w:r>
        <w:rPr>
          <w:rFonts w:ascii="Calibri" w:eastAsia="Times New Roman" w:hAnsi="Calibri" w:cstheme="minorHAnsi"/>
          <w:b/>
          <w:bCs/>
          <w:color w:val="00B050"/>
          <w:szCs w:val="22"/>
          <w:shd w:val="clear" w:color="auto" w:fill="FFFFFF"/>
        </w:rPr>
        <w:t>Exam Technique</w:t>
      </w:r>
      <w:r>
        <w:rPr>
          <w:rFonts w:ascii="Calibri" w:eastAsia="Times New Roman" w:hAnsi="Calibri" w:cstheme="minorHAnsi"/>
          <w:bCs/>
          <w:color w:val="00B050"/>
          <w:szCs w:val="22"/>
          <w:shd w:val="clear" w:color="auto" w:fill="FFFFFF"/>
        </w:rPr>
        <w:t xml:space="preserve"> – where have you used WAGOLLs or WABOLLs? </w:t>
      </w:r>
    </w:p>
    <w:p w:rsidR="00A947F9" w:rsidRDefault="00A947F9" w:rsidP="00A947F9">
      <w:pPr>
        <w:pStyle w:val="NormalWeb"/>
        <w:numPr>
          <w:ilvl w:val="0"/>
          <w:numId w:val="2"/>
        </w:numPr>
        <w:shd w:val="clear" w:color="auto" w:fill="FFFFFF"/>
        <w:contextualSpacing/>
        <w:jc w:val="both"/>
        <w:rPr>
          <w:rFonts w:ascii="Calibri" w:hAnsi="Calibri" w:cs="Calibri"/>
          <w:color w:val="000000"/>
          <w:sz w:val="22"/>
          <w:szCs w:val="22"/>
        </w:rPr>
      </w:pPr>
      <w:r>
        <w:rPr>
          <w:rFonts w:ascii="Calibri" w:eastAsia="Times New Roman" w:hAnsi="Calibri" w:cstheme="minorHAnsi"/>
          <w:b/>
          <w:bCs/>
          <w:color w:val="00B050"/>
          <w:szCs w:val="22"/>
          <w:shd w:val="clear" w:color="auto" w:fill="FFFFFF"/>
        </w:rPr>
        <w:t>What about feedback</w:t>
      </w:r>
      <w:r>
        <w:rPr>
          <w:rFonts w:ascii="Calibri" w:eastAsia="Times New Roman" w:hAnsi="Calibri" w:cstheme="minorHAnsi"/>
          <w:bCs/>
          <w:color w:val="00B050"/>
          <w:szCs w:val="22"/>
          <w:shd w:val="clear" w:color="auto" w:fill="FFFFFF"/>
        </w:rPr>
        <w:t xml:space="preserve"> – where have you planned in MAD or DIRT time?  </w:t>
      </w:r>
    </w:p>
    <w:p w:rsidR="00A947F9" w:rsidRDefault="00A947F9" w:rsidP="00A947F9">
      <w:pPr>
        <w:pStyle w:val="NormalWeb"/>
        <w:numPr>
          <w:ilvl w:val="0"/>
          <w:numId w:val="2"/>
        </w:numPr>
        <w:shd w:val="clear" w:color="auto" w:fill="FFFFFF"/>
        <w:contextualSpacing/>
        <w:jc w:val="both"/>
        <w:rPr>
          <w:rFonts w:ascii="Calibri" w:hAnsi="Calibri" w:cs="Calibri"/>
          <w:color w:val="000000"/>
          <w:sz w:val="22"/>
          <w:szCs w:val="22"/>
        </w:rPr>
      </w:pPr>
      <w:r>
        <w:rPr>
          <w:rFonts w:ascii="Calibri" w:eastAsia="Times New Roman" w:hAnsi="Calibri" w:cstheme="minorHAnsi"/>
          <w:b/>
          <w:bCs/>
          <w:color w:val="00B050"/>
          <w:szCs w:val="22"/>
          <w:shd w:val="clear" w:color="auto" w:fill="FFFFFF"/>
        </w:rPr>
        <w:t>Engaging boys</w:t>
      </w:r>
      <w:r>
        <w:rPr>
          <w:rFonts w:ascii="Calibri" w:eastAsia="Times New Roman" w:hAnsi="Calibri" w:cstheme="minorHAnsi"/>
          <w:bCs/>
          <w:color w:val="00B050"/>
          <w:szCs w:val="22"/>
          <w:shd w:val="clear" w:color="auto" w:fill="FFFFFF"/>
        </w:rPr>
        <w:t xml:space="preserve"> – have you focused on self-directed learning or independent learning? Where?</w:t>
      </w:r>
    </w:p>
    <w:p w:rsidR="00A947F9" w:rsidRDefault="00A947F9" w:rsidP="00A947F9">
      <w:pPr>
        <w:pStyle w:val="NormalWeb"/>
        <w:shd w:val="clear" w:color="auto" w:fill="FFFFFF"/>
        <w:jc w:val="both"/>
        <w:rPr>
          <w:rFonts w:ascii="Arial" w:hAnsi="Arial" w:cs="Arial"/>
          <w:color w:val="000000"/>
        </w:rPr>
      </w:pPr>
      <w:r>
        <w:rPr>
          <w:rFonts w:ascii="Calibri" w:eastAsia="Times New Roman" w:hAnsi="Calibri" w:cs="Calibri"/>
          <w:bCs/>
          <w:color w:val="00B050"/>
          <w:szCs w:val="22"/>
          <w:shd w:val="clear" w:color="auto" w:fill="FFFFFF"/>
        </w:rPr>
        <w:t> </w:t>
      </w:r>
    </w:p>
    <w:p w:rsidR="00A947F9" w:rsidRDefault="00A947F9" w:rsidP="00A947F9">
      <w:pPr>
        <w:pStyle w:val="NormalWeb"/>
        <w:shd w:val="clear" w:color="auto" w:fill="FFFFFF"/>
        <w:jc w:val="both"/>
        <w:rPr>
          <w:rFonts w:ascii="Arial" w:hAnsi="Arial" w:cs="Arial"/>
          <w:color w:val="000000"/>
        </w:rPr>
      </w:pPr>
      <w:r>
        <w:rPr>
          <w:rFonts w:ascii="Calibri" w:eastAsia="Times New Roman" w:hAnsi="Calibri" w:cs="Calibri"/>
          <w:bCs/>
          <w:color w:val="00B050"/>
          <w:szCs w:val="22"/>
          <w:shd w:val="clear" w:color="auto" w:fill="FFFFFF"/>
        </w:rPr>
        <w:t>What about the ‘Walton Way’ or key standards?  Are you still sticking to them rigidly?</w:t>
      </w:r>
    </w:p>
    <w:p w:rsidR="00A947F9" w:rsidRDefault="00A947F9" w:rsidP="00A947F9">
      <w:pPr>
        <w:pStyle w:val="NormalWeb"/>
        <w:shd w:val="clear" w:color="auto" w:fill="FFFFFF"/>
        <w:jc w:val="both"/>
        <w:rPr>
          <w:rFonts w:ascii="Arial" w:hAnsi="Arial" w:cs="Arial"/>
          <w:color w:val="000000"/>
        </w:rPr>
      </w:pPr>
      <w:r>
        <w:rPr>
          <w:rFonts w:ascii="Calibri" w:eastAsia="Times New Roman" w:hAnsi="Calibri" w:cs="Calibri"/>
          <w:bCs/>
          <w:color w:val="00B050"/>
          <w:szCs w:val="22"/>
          <w:shd w:val="clear" w:color="auto" w:fill="FFFFFF"/>
        </w:rPr>
        <w:t> </w:t>
      </w:r>
    </w:p>
    <w:p w:rsidR="00A947F9" w:rsidRDefault="00A947F9" w:rsidP="00A947F9">
      <w:pPr>
        <w:pStyle w:val="NormalWeb"/>
        <w:shd w:val="clear" w:color="auto" w:fill="FFFFFF"/>
        <w:jc w:val="both"/>
        <w:rPr>
          <w:rFonts w:ascii="Arial" w:hAnsi="Arial" w:cs="Arial"/>
          <w:color w:val="000000"/>
        </w:rPr>
      </w:pPr>
      <w:r>
        <w:rPr>
          <w:rFonts w:ascii="Calibri" w:eastAsia="Times New Roman" w:hAnsi="Calibri" w:cs="Calibri"/>
          <w:bCs/>
          <w:color w:val="00B050"/>
          <w:szCs w:val="22"/>
          <w:shd w:val="clear" w:color="auto" w:fill="FFFFFF"/>
        </w:rPr>
        <w:t> </w:t>
      </w:r>
    </w:p>
    <w:p w:rsidR="00A947F9" w:rsidRDefault="00A947F9" w:rsidP="00A947F9">
      <w:pPr>
        <w:pStyle w:val="NormalWeb"/>
        <w:shd w:val="clear" w:color="auto" w:fill="FFFFFF"/>
        <w:rPr>
          <w:rFonts w:ascii="Arial" w:hAnsi="Arial" w:cs="Arial"/>
          <w:color w:val="000000"/>
        </w:rPr>
      </w:pPr>
      <w:r>
        <w:rPr>
          <w:rFonts w:ascii="Calibri" w:eastAsia="Times New Roman" w:hAnsi="Calibri" w:cs="Calibri"/>
          <w:b/>
          <w:bCs/>
          <w:color w:val="4472C4" w:themeColor="accent5"/>
          <w:szCs w:val="22"/>
          <w:u w:val="single"/>
          <w:shd w:val="clear" w:color="auto" w:fill="FFFFFF"/>
        </w:rPr>
        <w:t>Bright Spots</w:t>
      </w:r>
    </w:p>
    <w:p w:rsidR="00A947F9" w:rsidRDefault="00A947F9" w:rsidP="00A947F9">
      <w:pPr>
        <w:pStyle w:val="NormalWeb"/>
        <w:shd w:val="clear" w:color="auto" w:fill="FFFFFF"/>
        <w:jc w:val="both"/>
        <w:rPr>
          <w:rFonts w:ascii="Arial" w:hAnsi="Arial" w:cs="Arial"/>
          <w:color w:val="000000"/>
        </w:rPr>
      </w:pPr>
      <w:r>
        <w:rPr>
          <w:rFonts w:ascii="Calibri" w:eastAsia="Times New Roman" w:hAnsi="Calibri" w:cs="Calibri"/>
          <w:bCs/>
          <w:noProof/>
          <w:color w:val="4472C4" w:themeColor="accent5"/>
          <w:szCs w:val="22"/>
          <w:shd w:val="clear" w:color="auto" w:fill="FFFFFF"/>
        </w:rPr>
        <w:drawing>
          <wp:inline distT="0" distB="0" distL="0" distR="0">
            <wp:extent cx="1009650" cy="1009650"/>
            <wp:effectExtent l="0" t="0" r="0" b="0"/>
            <wp:docPr id="2" name="Picture 2" descr="cid:1174deaf-7420-4528-aa81-d746e95338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997697" descr="cid:1174deaf-7420-4528-aa81-d746e95338dc"/>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Pr>
          <w:rFonts w:ascii="Calibri" w:eastAsia="Times New Roman" w:hAnsi="Calibri" w:cs="Calibri"/>
          <w:bCs/>
          <w:color w:val="4472C4" w:themeColor="accent5"/>
          <w:szCs w:val="22"/>
          <w:shd w:val="clear" w:color="auto" w:fill="FFFFFF"/>
        </w:rPr>
        <w:t xml:space="preserve">Whilst our focus over the first six weeks has been on standards and consistency, quite rightly, I have seen some examples of creativity and great teaching on my wanderings.  Below are some snippets of memories gathered from my walks around </w:t>
      </w:r>
      <w:proofErr w:type="gramStart"/>
      <w:r>
        <w:rPr>
          <w:rFonts w:ascii="Calibri" w:eastAsia="Times New Roman" w:hAnsi="Calibri" w:cs="Calibri"/>
          <w:bCs/>
          <w:color w:val="4472C4" w:themeColor="accent5"/>
          <w:szCs w:val="22"/>
          <w:shd w:val="clear" w:color="auto" w:fill="FFFFFF"/>
        </w:rPr>
        <w:t>school:</w:t>
      </w:r>
      <w:proofErr w:type="gramEnd"/>
    </w:p>
    <w:p w:rsidR="00A947F9" w:rsidRDefault="00A947F9" w:rsidP="00A947F9">
      <w:pPr>
        <w:pStyle w:val="NormalWeb"/>
        <w:shd w:val="clear" w:color="auto" w:fill="FFFFFF"/>
        <w:rPr>
          <w:rFonts w:ascii="Arial" w:hAnsi="Arial" w:cs="Arial"/>
          <w:color w:val="000000"/>
        </w:rPr>
      </w:pPr>
      <w:r>
        <w:rPr>
          <w:rFonts w:ascii="Calibri" w:eastAsia="Times New Roman" w:hAnsi="Calibri" w:cs="Calibri"/>
          <w:bCs/>
          <w:color w:val="4472C4" w:themeColor="accent5"/>
          <w:szCs w:val="22"/>
          <w:shd w:val="clear" w:color="auto" w:fill="FFFFFF"/>
        </w:rPr>
        <w:t> </w:t>
      </w:r>
    </w:p>
    <w:p w:rsidR="00A947F9" w:rsidRDefault="00A947F9" w:rsidP="00A947F9">
      <w:pPr>
        <w:pStyle w:val="NormalWeb"/>
        <w:shd w:val="clear" w:color="auto" w:fill="FFFFFF"/>
        <w:jc w:val="both"/>
        <w:rPr>
          <w:rFonts w:ascii="Arial" w:hAnsi="Arial" w:cs="Arial"/>
          <w:color w:val="000000"/>
        </w:rPr>
      </w:pPr>
      <w:r>
        <w:rPr>
          <w:rFonts w:ascii="Calibri" w:eastAsia="Times New Roman" w:hAnsi="Calibri" w:cs="Calibri"/>
          <w:bCs/>
          <w:color w:val="4472C4" w:themeColor="accent5"/>
          <w:szCs w:val="22"/>
          <w:shd w:val="clear" w:color="auto" w:fill="FFFFFF"/>
        </w:rPr>
        <w:t xml:space="preserve">In Art, students silently engrossed in their work, not WANTING to talk to one another…  Now this is what we want! Over in PE, clear explanations and effective modelling of skills </w:t>
      </w:r>
      <w:proofErr w:type="gramStart"/>
      <w:r>
        <w:rPr>
          <w:rFonts w:ascii="Calibri" w:eastAsia="Times New Roman" w:hAnsi="Calibri" w:cs="Calibri"/>
          <w:bCs/>
          <w:color w:val="4472C4" w:themeColor="accent5"/>
          <w:szCs w:val="22"/>
          <w:shd w:val="clear" w:color="auto" w:fill="FFFFFF"/>
        </w:rPr>
        <w:t>has been seen</w:t>
      </w:r>
      <w:proofErr w:type="gramEnd"/>
      <w:r>
        <w:rPr>
          <w:rFonts w:ascii="Calibri" w:eastAsia="Times New Roman" w:hAnsi="Calibri" w:cs="Calibri"/>
          <w:bCs/>
          <w:color w:val="4472C4" w:themeColor="accent5"/>
          <w:szCs w:val="22"/>
          <w:shd w:val="clear" w:color="auto" w:fill="FFFFFF"/>
        </w:rPr>
        <w:t xml:space="preserve"> on a regular basis.  Music, students engaged in creating a rhythm together whilst the teacher conducts - enthralled! Over in English, the level of calm has been evident in classrooms.  However on one day, a ‘snow ball’ activity added to the excitement (students enjoyed this!).  In MFL, students have enjoyed </w:t>
      </w:r>
      <w:proofErr w:type="gramStart"/>
      <w:r>
        <w:rPr>
          <w:rFonts w:ascii="Calibri" w:eastAsia="Times New Roman" w:hAnsi="Calibri" w:cs="Calibri"/>
          <w:bCs/>
          <w:color w:val="4472C4" w:themeColor="accent5"/>
          <w:szCs w:val="22"/>
          <w:shd w:val="clear" w:color="auto" w:fill="FFFFFF"/>
        </w:rPr>
        <w:t>being challenged</w:t>
      </w:r>
      <w:proofErr w:type="gramEnd"/>
      <w:r>
        <w:rPr>
          <w:rFonts w:ascii="Calibri" w:eastAsia="Times New Roman" w:hAnsi="Calibri" w:cs="Calibri"/>
          <w:bCs/>
          <w:color w:val="4472C4" w:themeColor="accent5"/>
          <w:szCs w:val="22"/>
          <w:shd w:val="clear" w:color="auto" w:fill="FFFFFF"/>
        </w:rPr>
        <w:t xml:space="preserve"> to learn new languages lower down the school.  Seeing them grapple with German and engaging with the teachers has been uplifting (</w:t>
      </w:r>
      <w:proofErr w:type="gramStart"/>
      <w:r>
        <w:rPr>
          <w:rFonts w:ascii="Calibri" w:eastAsia="Times New Roman" w:hAnsi="Calibri" w:cs="Calibri"/>
          <w:bCs/>
          <w:color w:val="4472C4" w:themeColor="accent5"/>
          <w:szCs w:val="22"/>
          <w:shd w:val="clear" w:color="auto" w:fill="FFFFFF"/>
        </w:rPr>
        <w:t>and also</w:t>
      </w:r>
      <w:proofErr w:type="gramEnd"/>
      <w:r>
        <w:rPr>
          <w:rFonts w:ascii="Calibri" w:eastAsia="Times New Roman" w:hAnsi="Calibri" w:cs="Calibri"/>
          <w:bCs/>
          <w:color w:val="4472C4" w:themeColor="accent5"/>
          <w:szCs w:val="22"/>
          <w:shd w:val="clear" w:color="auto" w:fill="FFFFFF"/>
        </w:rPr>
        <w:t xml:space="preserve"> the clicking of dice on the table – great!).  Over in Science, students have engaged with a range of well-managed practical experiments (the dissection of the pig’s heart – a personal favourite), whilst in Mathematics, effective questioning </w:t>
      </w:r>
      <w:proofErr w:type="gramStart"/>
      <w:r>
        <w:rPr>
          <w:rFonts w:ascii="Calibri" w:eastAsia="Times New Roman" w:hAnsi="Calibri" w:cs="Calibri"/>
          <w:bCs/>
          <w:color w:val="4472C4" w:themeColor="accent5"/>
          <w:szCs w:val="22"/>
          <w:shd w:val="clear" w:color="auto" w:fill="FFFFFF"/>
        </w:rPr>
        <w:t>has been seen</w:t>
      </w:r>
      <w:proofErr w:type="gramEnd"/>
      <w:r>
        <w:rPr>
          <w:rFonts w:ascii="Calibri" w:eastAsia="Times New Roman" w:hAnsi="Calibri" w:cs="Calibri"/>
          <w:bCs/>
          <w:color w:val="4472C4" w:themeColor="accent5"/>
          <w:szCs w:val="22"/>
          <w:shd w:val="clear" w:color="auto" w:fill="FFFFFF"/>
        </w:rPr>
        <w:t xml:space="preserve">, pushing students further in their learning.  In Technology, effective questioning has also been evident forcing students to think about the choices that they are making. In Humanities, a range of active and engaging learning activities </w:t>
      </w:r>
      <w:proofErr w:type="gramStart"/>
      <w:r>
        <w:rPr>
          <w:rFonts w:ascii="Calibri" w:eastAsia="Times New Roman" w:hAnsi="Calibri" w:cs="Calibri"/>
          <w:bCs/>
          <w:color w:val="4472C4" w:themeColor="accent5"/>
          <w:szCs w:val="22"/>
          <w:shd w:val="clear" w:color="auto" w:fill="FFFFFF"/>
        </w:rPr>
        <w:t>have been seen</w:t>
      </w:r>
      <w:proofErr w:type="gramEnd"/>
      <w:r>
        <w:rPr>
          <w:rFonts w:ascii="Calibri" w:eastAsia="Times New Roman" w:hAnsi="Calibri" w:cs="Calibri"/>
          <w:bCs/>
          <w:color w:val="4472C4" w:themeColor="accent5"/>
          <w:szCs w:val="22"/>
          <w:shd w:val="clear" w:color="auto" w:fill="FFFFFF"/>
        </w:rPr>
        <w:t xml:space="preserve">, simultaneously allowing students to grapple with difficult concepts.  This is similar in OM, where group work has also been effectively organised to allow everyone to have a role and focus.  </w:t>
      </w:r>
    </w:p>
    <w:p w:rsidR="00A947F9" w:rsidRDefault="00A947F9" w:rsidP="00A947F9">
      <w:pPr>
        <w:pStyle w:val="NormalWeb"/>
        <w:shd w:val="clear" w:color="auto" w:fill="FFFFFF"/>
        <w:rPr>
          <w:rFonts w:ascii="Arial" w:hAnsi="Arial" w:cs="Arial"/>
          <w:color w:val="000000"/>
        </w:rPr>
      </w:pPr>
      <w:r>
        <w:rPr>
          <w:rFonts w:ascii="Calibri" w:eastAsia="Times New Roman" w:hAnsi="Calibri" w:cs="Calibri"/>
          <w:bCs/>
          <w:color w:val="4472C4" w:themeColor="accent5"/>
          <w:szCs w:val="22"/>
          <w:shd w:val="clear" w:color="auto" w:fill="FFFFFF"/>
        </w:rPr>
        <w:t> </w:t>
      </w:r>
    </w:p>
    <w:p w:rsidR="00A947F9" w:rsidRDefault="00A947F9" w:rsidP="00A947F9">
      <w:pPr>
        <w:pStyle w:val="NormalWeb"/>
        <w:shd w:val="clear" w:color="auto" w:fill="FFFFFF"/>
        <w:rPr>
          <w:rFonts w:ascii="Arial" w:hAnsi="Arial" w:cs="Arial"/>
          <w:color w:val="000000"/>
        </w:rPr>
      </w:pPr>
      <w:r>
        <w:rPr>
          <w:rFonts w:ascii="Calibri" w:eastAsia="Times New Roman" w:hAnsi="Calibri" w:cstheme="minorHAnsi"/>
          <w:bCs/>
          <w:color w:val="4472C4" w:themeColor="accent5"/>
          <w:szCs w:val="22"/>
          <w:shd w:val="clear" w:color="auto" w:fill="FFFFFF"/>
        </w:rPr>
        <w:t>Sorry for the ramblings – just my thoughts as I reflect on my journey around school over the last half term.</w:t>
      </w:r>
    </w:p>
    <w:p w:rsidR="00A947F9" w:rsidRDefault="00A947F9" w:rsidP="00A947F9">
      <w:pPr>
        <w:pStyle w:val="NormalWeb"/>
        <w:shd w:val="clear" w:color="auto" w:fill="FFFFFF"/>
        <w:rPr>
          <w:rFonts w:ascii="Arial" w:hAnsi="Arial" w:cs="Arial"/>
          <w:color w:val="000000"/>
        </w:rPr>
      </w:pPr>
      <w:r>
        <w:rPr>
          <w:rFonts w:ascii="Calibri" w:eastAsia="Times New Roman" w:hAnsi="Calibri" w:cs="Calibri"/>
          <w:b/>
          <w:bCs/>
          <w:color w:val="7030A0"/>
          <w:szCs w:val="22"/>
          <w:shd w:val="clear" w:color="auto" w:fill="FFFFFF"/>
        </w:rPr>
        <w:t> </w:t>
      </w:r>
    </w:p>
    <w:p w:rsidR="00A947F9" w:rsidRDefault="00A947F9" w:rsidP="00A947F9">
      <w:pPr>
        <w:pStyle w:val="NormalWeb"/>
        <w:shd w:val="clear" w:color="auto" w:fill="FFFFFF"/>
        <w:rPr>
          <w:rFonts w:ascii="Arial" w:hAnsi="Arial" w:cs="Arial"/>
          <w:color w:val="000000"/>
        </w:rPr>
      </w:pPr>
      <w:r>
        <w:rPr>
          <w:rFonts w:ascii="Calibri" w:eastAsia="Times New Roman" w:hAnsi="Calibri" w:cs="Calibri"/>
          <w:b/>
          <w:bCs/>
          <w:color w:val="7030A0"/>
          <w:szCs w:val="22"/>
          <w:shd w:val="clear" w:color="auto" w:fill="FFFFFF"/>
        </w:rPr>
        <w:t> </w:t>
      </w:r>
    </w:p>
    <w:p w:rsidR="00A947F9" w:rsidRDefault="00A947F9" w:rsidP="00A947F9">
      <w:pPr>
        <w:pStyle w:val="NormalWeb"/>
        <w:shd w:val="clear" w:color="auto" w:fill="FFFFFF"/>
        <w:rPr>
          <w:rFonts w:ascii="Arial" w:hAnsi="Arial" w:cs="Arial"/>
          <w:color w:val="000000"/>
        </w:rPr>
      </w:pPr>
      <w:r>
        <w:rPr>
          <w:rFonts w:ascii="Calibri" w:eastAsia="Times New Roman" w:hAnsi="Calibri" w:cs="Calibri"/>
          <w:b/>
          <w:bCs/>
          <w:color w:val="7030A0"/>
          <w:u w:val="single"/>
          <w:shd w:val="clear" w:color="auto" w:fill="FFFFFF"/>
        </w:rPr>
        <w:t>Top Tips in Two this Term (</w:t>
      </w:r>
      <w:proofErr w:type="spellStart"/>
      <w:r>
        <w:rPr>
          <w:rFonts w:ascii="Calibri" w:eastAsia="Times New Roman" w:hAnsi="Calibri" w:cs="Calibri"/>
          <w:b/>
          <w:bCs/>
          <w:color w:val="7030A0"/>
          <w:u w:val="single"/>
          <w:shd w:val="clear" w:color="auto" w:fill="FFFFFF"/>
        </w:rPr>
        <w:t>HoDs</w:t>
      </w:r>
      <w:proofErr w:type="spellEnd"/>
      <w:r>
        <w:rPr>
          <w:rFonts w:ascii="Calibri" w:eastAsia="Times New Roman" w:hAnsi="Calibri" w:cs="Calibri"/>
          <w:b/>
          <w:bCs/>
          <w:color w:val="7030A0"/>
          <w:u w:val="single"/>
          <w:shd w:val="clear" w:color="auto" w:fill="FFFFFF"/>
        </w:rPr>
        <w:t xml:space="preserve"> please organise who will share and let me know)</w:t>
      </w:r>
    </w:p>
    <w:p w:rsidR="00A947F9" w:rsidRDefault="00A947F9" w:rsidP="00A947F9">
      <w:pPr>
        <w:pStyle w:val="NormalWeb"/>
        <w:shd w:val="clear" w:color="auto" w:fill="FFFFFF"/>
        <w:rPr>
          <w:rFonts w:ascii="Arial" w:hAnsi="Arial" w:cs="Arial"/>
          <w:color w:val="000000"/>
        </w:rPr>
      </w:pPr>
      <w:r>
        <w:rPr>
          <w:rFonts w:ascii="Calibri" w:eastAsia="Times New Roman" w:hAnsi="Calibri" w:cs="Calibri"/>
          <w:b/>
          <w:bCs/>
          <w:color w:val="7030A0"/>
          <w:shd w:val="clear" w:color="auto" w:fill="FFFFFF"/>
        </w:rPr>
        <w:t> </w:t>
      </w:r>
    </w:p>
    <w:p w:rsidR="00A947F9" w:rsidRDefault="00A947F9" w:rsidP="00A947F9">
      <w:pPr>
        <w:pStyle w:val="NormalWeb"/>
        <w:shd w:val="clear" w:color="auto" w:fill="FFFFFF"/>
        <w:rPr>
          <w:rFonts w:ascii="Arial" w:hAnsi="Arial" w:cs="Arial"/>
          <w:color w:val="000000"/>
        </w:rPr>
      </w:pPr>
      <w:r>
        <w:rPr>
          <w:rFonts w:ascii="Calibri" w:eastAsia="Times New Roman" w:hAnsi="Calibri" w:cs="Calibri"/>
          <w:noProof/>
          <w:color w:val="000000"/>
          <w:shd w:val="clear" w:color="auto" w:fill="FFFFFF"/>
        </w:rPr>
        <w:lastRenderedPageBreak/>
        <w:drawing>
          <wp:inline distT="0" distB="0" distL="0" distR="0">
            <wp:extent cx="5192395" cy="3180715"/>
            <wp:effectExtent l="0" t="0" r="8255" b="635"/>
            <wp:docPr id="1" name="Picture 1" descr="cid:8cac2d71-1275-4d0e-8674-e99b70e49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86046" descr="cid:8cac2d71-1275-4d0e-8674-e99b70e49498"/>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192395" cy="3180715"/>
                    </a:xfrm>
                    <a:prstGeom prst="rect">
                      <a:avLst/>
                    </a:prstGeom>
                    <a:noFill/>
                    <a:ln>
                      <a:noFill/>
                    </a:ln>
                  </pic:spPr>
                </pic:pic>
              </a:graphicData>
            </a:graphic>
          </wp:inline>
        </w:drawing>
      </w:r>
    </w:p>
    <w:p w:rsidR="00A947F9" w:rsidRDefault="00A947F9" w:rsidP="00A947F9">
      <w:pPr>
        <w:pStyle w:val="NormalWeb"/>
        <w:shd w:val="clear" w:color="auto" w:fill="FFFFFF"/>
        <w:jc w:val="both"/>
        <w:rPr>
          <w:rFonts w:ascii="Arial" w:hAnsi="Arial" w:cs="Arial"/>
          <w:color w:val="000000"/>
        </w:rPr>
      </w:pPr>
      <w:r>
        <w:rPr>
          <w:rFonts w:ascii="Calibri" w:eastAsia="Times New Roman" w:hAnsi="Calibri" w:cs="Calibri"/>
          <w:color w:val="00B0F0"/>
          <w:shd w:val="clear" w:color="auto" w:fill="FFFFFF"/>
        </w:rPr>
        <w:t> </w:t>
      </w:r>
    </w:p>
    <w:p w:rsidR="00A947F9" w:rsidRDefault="00A947F9" w:rsidP="00A947F9">
      <w:pPr>
        <w:pStyle w:val="NormalWeb"/>
        <w:shd w:val="clear" w:color="auto" w:fill="FFFFFF"/>
        <w:jc w:val="both"/>
        <w:rPr>
          <w:rFonts w:ascii="Arial" w:hAnsi="Arial" w:cs="Arial"/>
          <w:color w:val="000000"/>
        </w:rPr>
      </w:pPr>
      <w:r>
        <w:rPr>
          <w:rFonts w:ascii="Calibri" w:eastAsia="Times New Roman" w:hAnsi="Calibri" w:cs="Calibri"/>
          <w:color w:val="00B0F0"/>
          <w:shd w:val="clear" w:color="auto" w:fill="FFFFFF"/>
        </w:rPr>
        <w:t> </w:t>
      </w:r>
    </w:p>
    <w:p w:rsidR="00A947F9" w:rsidRDefault="00A947F9" w:rsidP="00A947F9">
      <w:pPr>
        <w:pStyle w:val="NormalWeb"/>
        <w:shd w:val="clear" w:color="auto" w:fill="FFFFFF"/>
        <w:rPr>
          <w:rFonts w:ascii="Arial" w:hAnsi="Arial" w:cs="Arial"/>
          <w:color w:val="000000"/>
        </w:rPr>
      </w:pPr>
      <w:r>
        <w:rPr>
          <w:rFonts w:ascii="Calibri" w:eastAsia="Times New Roman" w:hAnsi="Calibri" w:cs="Calibri"/>
          <w:b/>
          <w:color w:val="808080" w:themeColor="background1" w:themeShade="80"/>
          <w:u w:val="single"/>
          <w:shd w:val="clear" w:color="auto" w:fill="FFFFFF"/>
        </w:rPr>
        <w:t>CPD Cascade</w:t>
      </w:r>
    </w:p>
    <w:p w:rsidR="00A947F9" w:rsidRDefault="00A947F9" w:rsidP="00A947F9">
      <w:pPr>
        <w:pStyle w:val="NormalWeb"/>
        <w:shd w:val="clear" w:color="auto" w:fill="FFFFFF"/>
        <w:jc w:val="both"/>
        <w:rPr>
          <w:rFonts w:ascii="Arial" w:hAnsi="Arial" w:cs="Arial"/>
          <w:color w:val="000000"/>
        </w:rPr>
      </w:pPr>
      <w:r>
        <w:rPr>
          <w:rFonts w:ascii="Calibri" w:eastAsia="Times New Roman" w:hAnsi="Calibri" w:cstheme="minorHAnsi"/>
          <w:color w:val="808080" w:themeColor="background1" w:themeShade="80"/>
          <w:shd w:val="clear" w:color="auto" w:fill="FFFFFF"/>
        </w:rPr>
        <w:t xml:space="preserve">I attended a CPD session on Friday morning and it contained talks by Ofsted HMIs.  It was interesting but one quote that I liked and that made a lot of sense was that Ofsted’s focus was that they basically want students to </w:t>
      </w:r>
      <w:r>
        <w:rPr>
          <w:rFonts w:ascii="Calibri" w:eastAsia="Times New Roman" w:hAnsi="Calibri" w:cstheme="minorHAnsi"/>
          <w:b/>
          <w:i/>
          <w:color w:val="E7E6E6" w:themeColor="background2"/>
          <w:shd w:val="clear" w:color="auto" w:fill="FFFFFF"/>
        </w:rPr>
        <w:t>‘know more and to remember more’</w:t>
      </w:r>
      <w:r>
        <w:rPr>
          <w:rFonts w:ascii="Calibri" w:eastAsia="Times New Roman" w:hAnsi="Calibri" w:cstheme="minorHAnsi"/>
          <w:color w:val="E7E6E6" w:themeColor="background2"/>
          <w:shd w:val="clear" w:color="auto" w:fill="FFFFFF"/>
        </w:rPr>
        <w:t xml:space="preserve"> </w:t>
      </w:r>
      <w:r>
        <w:rPr>
          <w:rFonts w:ascii="Calibri" w:eastAsia="Times New Roman" w:hAnsi="Calibri" w:cstheme="minorHAnsi"/>
          <w:color w:val="808080" w:themeColor="background1" w:themeShade="80"/>
          <w:shd w:val="clear" w:color="auto" w:fill="FFFFFF"/>
        </w:rPr>
        <w:t>– simple as that. This made me think of the importance of learning (teaching) both skills AND knowledge – one is redundant without the other.</w:t>
      </w:r>
    </w:p>
    <w:p w:rsidR="00A947F9" w:rsidRDefault="00A947F9" w:rsidP="00A947F9">
      <w:pPr>
        <w:pStyle w:val="NormalWeb"/>
        <w:shd w:val="clear" w:color="auto" w:fill="FFFFFF"/>
        <w:jc w:val="both"/>
        <w:rPr>
          <w:rFonts w:ascii="Arial" w:hAnsi="Arial" w:cs="Arial"/>
          <w:color w:val="000000"/>
        </w:rPr>
      </w:pPr>
      <w:r>
        <w:rPr>
          <w:rFonts w:ascii="Calibri" w:eastAsia="Times New Roman" w:hAnsi="Calibri" w:cs="Calibri"/>
          <w:color w:val="808080" w:themeColor="background1" w:themeShade="80"/>
          <w:shd w:val="clear" w:color="auto" w:fill="FFFFFF"/>
        </w:rPr>
        <w:t> </w:t>
      </w:r>
    </w:p>
    <w:p w:rsidR="00A947F9" w:rsidRDefault="00A947F9" w:rsidP="00A947F9">
      <w:pPr>
        <w:pStyle w:val="NormalWeb"/>
        <w:shd w:val="clear" w:color="auto" w:fill="FFFFFF"/>
        <w:jc w:val="both"/>
        <w:rPr>
          <w:rFonts w:ascii="Arial" w:hAnsi="Arial" w:cs="Arial"/>
          <w:color w:val="000000"/>
        </w:rPr>
      </w:pPr>
      <w:r>
        <w:rPr>
          <w:rFonts w:ascii="Calibri" w:eastAsia="Times New Roman" w:hAnsi="Calibri" w:cs="Calibri"/>
          <w:color w:val="808080" w:themeColor="background1" w:themeShade="80"/>
          <w:shd w:val="clear" w:color="auto" w:fill="FFFFFF"/>
        </w:rPr>
        <w:t>For example, if you try to teach the skill of ‘evaluation’ in isolation, students will then not be able to evaluate who was responsible for WWI, for example. The knowledge is what gives the evaluation depth.</w:t>
      </w:r>
    </w:p>
    <w:p w:rsidR="00A947F9" w:rsidRDefault="00A947F9" w:rsidP="00A947F9">
      <w:pPr>
        <w:pStyle w:val="NormalWeb"/>
        <w:shd w:val="clear" w:color="auto" w:fill="FFFFFF"/>
        <w:jc w:val="both"/>
        <w:rPr>
          <w:rFonts w:ascii="Arial" w:hAnsi="Arial" w:cs="Arial"/>
          <w:color w:val="000000"/>
        </w:rPr>
      </w:pPr>
      <w:r>
        <w:rPr>
          <w:rFonts w:ascii="Calibri" w:eastAsia="Times New Roman" w:hAnsi="Calibri" w:cs="Calibri"/>
          <w:color w:val="808080" w:themeColor="background1" w:themeShade="80"/>
          <w:shd w:val="clear" w:color="auto" w:fill="FFFFFF"/>
        </w:rPr>
        <w:t> </w:t>
      </w:r>
    </w:p>
    <w:p w:rsidR="00A947F9" w:rsidRDefault="00A947F9" w:rsidP="00A947F9">
      <w:pPr>
        <w:pStyle w:val="NormalWeb"/>
        <w:shd w:val="clear" w:color="auto" w:fill="FFFFFF"/>
        <w:rPr>
          <w:rFonts w:ascii="Arial" w:hAnsi="Arial" w:cs="Arial"/>
          <w:color w:val="000000"/>
        </w:rPr>
      </w:pPr>
      <w:r>
        <w:rPr>
          <w:rFonts w:ascii="Calibri" w:eastAsia="Times New Roman" w:hAnsi="Calibri" w:cs="Calibri"/>
          <w:color w:val="00B0F0"/>
          <w:shd w:val="clear" w:color="auto" w:fill="FFFFFF"/>
        </w:rPr>
        <w:t> </w:t>
      </w:r>
    </w:p>
    <w:p w:rsidR="005E7982" w:rsidRDefault="00A947F9" w:rsidP="00A947F9">
      <w:r>
        <w:rPr>
          <w:rFonts w:ascii="Calibri" w:eastAsia="Times New Roman" w:hAnsi="Calibri" w:cs="Calibri"/>
          <w:color w:val="000000"/>
          <w:shd w:val="clear" w:color="auto" w:fill="FFFFFF"/>
        </w:rPr>
        <w:t>Thanks for reading.</w:t>
      </w:r>
      <w:bookmarkStart w:id="0" w:name="_GoBack"/>
      <w:bookmarkEnd w:id="0"/>
    </w:p>
    <w:sectPr w:rsidR="005E79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612BD"/>
    <w:multiLevelType w:val="multilevel"/>
    <w:tmpl w:val="14B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7E3023"/>
    <w:multiLevelType w:val="multilevel"/>
    <w:tmpl w:val="D88873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F9"/>
    <w:rsid w:val="005E7982"/>
    <w:rsid w:val="00A94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02954-EC7A-499D-A9A6-100CCEB0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7F9"/>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4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3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1174deaf-7420-4528-aa81-d746e95338dc"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6c8a95c0-2175-46dd-b891-4edef8085dad"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cid:8cac2d71-1275-4d0e-8674-e99b70e49498"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Harris</dc:creator>
  <cp:keywords/>
  <dc:description/>
  <cp:lastModifiedBy>J Harris</cp:lastModifiedBy>
  <cp:revision>1</cp:revision>
  <dcterms:created xsi:type="dcterms:W3CDTF">2018-10-15T16:07:00Z</dcterms:created>
  <dcterms:modified xsi:type="dcterms:W3CDTF">2018-10-15T16:08:00Z</dcterms:modified>
</cp:coreProperties>
</file>