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>WLD Teaching and Learning Digest – w/c 1st April 2019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tbl>
      <w:tblPr>
        <w:tblW w:w="9062" w:type="dxa"/>
        <w:shd w:val="clear" w:color="auto" w:fill="F7CA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5103"/>
      </w:tblGrid>
      <w:t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u w:val="single"/>
              </w:rPr>
              <w:t>COMMUNICATION FOCUSES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sz w:val="20"/>
              </w:rPr>
              <w:t> 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>Allow 15 minutes MAD time this week, allowing students to check their exercise books alongside the Communication Policy.  They should use pens to correct errors.</w:t>
            </w:r>
          </w:p>
        </w:tc>
        <w:tc>
          <w:tcPr>
            <w:tcW w:w="510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u w:val="single"/>
              </w:rPr>
              <w:t>INCLUSION FOR ALL</w:t>
            </w:r>
          </w:p>
          <w:p>
            <w:pPr>
              <w:spacing w:before="100" w:beforeAutospacing="1"/>
            </w:pPr>
            <w:r>
              <w:rPr>
                <w:rFonts w:eastAsia="Times New Roman" w:cstheme="minorHAnsi"/>
                <w:color w:val="0070C0"/>
                <w:sz w:val="20"/>
                <w:szCs w:val="20"/>
              </w:rPr>
              <w:t> </w:t>
            </w:r>
          </w:p>
          <w:p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FF0000"/>
              </w:rPr>
              <w:t xml:space="preserve">Challenge low-level off-task chat.  Do </w:t>
            </w:r>
            <w:proofErr w:type="gramStart"/>
            <w:r>
              <w:rPr>
                <w:rFonts w:eastAsia="Times New Roman" w:cstheme="minorHAnsi"/>
                <w:color w:val="FF0000"/>
              </w:rPr>
              <w:t>not leave it unchecked</w:t>
            </w:r>
            <w:proofErr w:type="gramEnd"/>
            <w:r>
              <w:rPr>
                <w:rFonts w:eastAsia="Times New Roman" w:cstheme="minorHAnsi"/>
                <w:color w:val="FF0000"/>
              </w:rPr>
              <w:t xml:space="preserve"> as it ruins the learning of others.  </w:t>
            </w:r>
          </w:p>
        </w:tc>
      </w:tr>
    </w:tbl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i/>
          <w:color w:val="FF0000"/>
          <w:sz w:val="32"/>
          <w:shd w:val="clear" w:color="auto" w:fill="FFFFFF"/>
        </w:rPr>
        <w:t>H</w:t>
      </w:r>
      <w:r>
        <w:rPr>
          <w:rFonts w:ascii="Arial" w:eastAsia="Times New Roman" w:hAnsi="Arial" w:cstheme="minorHAnsi"/>
          <w:b/>
          <w:bCs/>
          <w:i/>
          <w:color w:val="0070C0"/>
          <w:sz w:val="32"/>
          <w:shd w:val="clear" w:color="auto" w:fill="FFFFFF"/>
        </w:rPr>
        <w:t>a</w:t>
      </w:r>
      <w:r>
        <w:rPr>
          <w:rFonts w:ascii="Arial" w:eastAsia="Times New Roman" w:hAnsi="Arial" w:cstheme="minorHAnsi"/>
          <w:b/>
          <w:bCs/>
          <w:i/>
          <w:color w:val="00B050"/>
          <w:sz w:val="32"/>
          <w:shd w:val="clear" w:color="auto" w:fill="FFFFFF"/>
        </w:rPr>
        <w:t>p</w:t>
      </w:r>
      <w:r>
        <w:rPr>
          <w:rFonts w:ascii="Arial" w:eastAsia="Times New Roman" w:hAnsi="Arial" w:cstheme="minorHAnsi"/>
          <w:b/>
          <w:bCs/>
          <w:i/>
          <w:color w:val="7030A0"/>
          <w:sz w:val="32"/>
          <w:shd w:val="clear" w:color="auto" w:fill="FFFFFF"/>
        </w:rPr>
        <w:t>p</w:t>
      </w:r>
      <w:r>
        <w:rPr>
          <w:rFonts w:ascii="Arial" w:eastAsia="Times New Roman" w:hAnsi="Arial" w:cstheme="minorHAnsi"/>
          <w:b/>
          <w:bCs/>
          <w:i/>
          <w:color w:val="FFC000"/>
          <w:sz w:val="32"/>
          <w:shd w:val="clear" w:color="auto" w:fill="FFFFFF"/>
        </w:rPr>
        <w:t>y</w:t>
      </w:r>
      <w:r>
        <w:rPr>
          <w:rFonts w:ascii="Arial" w:eastAsia="Times New Roman" w:hAnsi="Arial" w:cstheme="minorHAnsi"/>
          <w:b/>
          <w:bCs/>
          <w:i/>
          <w:color w:val="C45911"/>
          <w:sz w:val="32"/>
          <w:shd w:val="clear" w:color="auto" w:fill="FFFFFF"/>
        </w:rPr>
        <w:t xml:space="preserve"> </w:t>
      </w:r>
      <w:r>
        <w:rPr>
          <w:rFonts w:ascii="Arial" w:eastAsia="Times New Roman" w:hAnsi="Arial" w:cstheme="minorHAnsi"/>
          <w:b/>
          <w:bCs/>
          <w:i/>
          <w:color w:val="FF0000"/>
          <w:sz w:val="32"/>
          <w:shd w:val="clear" w:color="auto" w:fill="FFFFFF"/>
        </w:rPr>
        <w:t>E</w:t>
      </w:r>
      <w:r>
        <w:rPr>
          <w:rFonts w:ascii="Arial" w:eastAsia="Times New Roman" w:hAnsi="Arial" w:cstheme="minorHAnsi"/>
          <w:b/>
          <w:bCs/>
          <w:i/>
          <w:color w:val="0070C0"/>
          <w:sz w:val="32"/>
          <w:shd w:val="clear" w:color="auto" w:fill="FFFFFF"/>
        </w:rPr>
        <w:t>a</w:t>
      </w:r>
      <w:r>
        <w:rPr>
          <w:rFonts w:ascii="Arial" w:eastAsia="Times New Roman" w:hAnsi="Arial" w:cstheme="minorHAnsi"/>
          <w:b/>
          <w:bCs/>
          <w:i/>
          <w:color w:val="00B050"/>
          <w:sz w:val="32"/>
          <w:shd w:val="clear" w:color="auto" w:fill="FFFFFF"/>
        </w:rPr>
        <w:t>s</w:t>
      </w:r>
      <w:r>
        <w:rPr>
          <w:rFonts w:ascii="Arial" w:eastAsia="Times New Roman" w:hAnsi="Arial" w:cstheme="minorHAnsi"/>
          <w:b/>
          <w:bCs/>
          <w:i/>
          <w:color w:val="7030A0"/>
          <w:sz w:val="32"/>
          <w:shd w:val="clear" w:color="auto" w:fill="FFFFFF"/>
        </w:rPr>
        <w:t>t</w:t>
      </w:r>
      <w:r>
        <w:rPr>
          <w:rFonts w:ascii="Arial" w:eastAsia="Times New Roman" w:hAnsi="Arial" w:cstheme="minorHAnsi"/>
          <w:b/>
          <w:bCs/>
          <w:i/>
          <w:color w:val="FFC000"/>
          <w:sz w:val="32"/>
          <w:shd w:val="clear" w:color="auto" w:fill="FFFFFF"/>
        </w:rPr>
        <w:t>e</w:t>
      </w:r>
      <w:r>
        <w:rPr>
          <w:rFonts w:ascii="Arial" w:eastAsia="Times New Roman" w:hAnsi="Arial" w:cstheme="minorHAnsi"/>
          <w:b/>
          <w:bCs/>
          <w:i/>
          <w:color w:val="FF0000"/>
          <w:sz w:val="32"/>
          <w:shd w:val="clear" w:color="auto" w:fill="FFFFFF"/>
        </w:rPr>
        <w:t>r</w:t>
      </w:r>
      <w:r>
        <w:rPr>
          <w:rFonts w:ascii="Arial" w:eastAsia="Times New Roman" w:hAnsi="Arial" w:cstheme="minorHAnsi"/>
          <w:b/>
          <w:bCs/>
          <w:i/>
          <w:color w:val="C45911"/>
          <w:sz w:val="32"/>
          <w:shd w:val="clear" w:color="auto" w:fill="FFFFFF"/>
        </w:rPr>
        <w:t xml:space="preserve"> </w:t>
      </w:r>
      <w:r>
        <w:rPr>
          <w:rFonts w:ascii="Arial" w:eastAsia="Times New Roman" w:hAnsi="Arial" w:cstheme="minorHAnsi"/>
          <w:b/>
          <w:bCs/>
          <w:i/>
          <w:color w:val="0070C0"/>
          <w:sz w:val="32"/>
          <w:shd w:val="clear" w:color="auto" w:fill="FFFFFF"/>
        </w:rPr>
        <w:t>e</w:t>
      </w:r>
      <w:r>
        <w:rPr>
          <w:rFonts w:ascii="Arial" w:eastAsia="Times New Roman" w:hAnsi="Arial" w:cstheme="minorHAnsi"/>
          <w:b/>
          <w:bCs/>
          <w:i/>
          <w:color w:val="00B050"/>
          <w:sz w:val="32"/>
          <w:shd w:val="clear" w:color="auto" w:fill="FFFFFF"/>
        </w:rPr>
        <w:t>v</w:t>
      </w:r>
      <w:r>
        <w:rPr>
          <w:rFonts w:ascii="Arial" w:eastAsia="Times New Roman" w:hAnsi="Arial" w:cstheme="minorHAnsi"/>
          <w:b/>
          <w:bCs/>
          <w:i/>
          <w:color w:val="7030A0"/>
          <w:sz w:val="32"/>
          <w:shd w:val="clear" w:color="auto" w:fill="FFFFFF"/>
        </w:rPr>
        <w:t>e</w:t>
      </w:r>
      <w:r>
        <w:rPr>
          <w:rFonts w:ascii="Arial" w:eastAsia="Times New Roman" w:hAnsi="Arial" w:cstheme="minorHAnsi"/>
          <w:b/>
          <w:bCs/>
          <w:i/>
          <w:color w:val="FFC000"/>
          <w:sz w:val="32"/>
          <w:shd w:val="clear" w:color="auto" w:fill="FFFFFF"/>
        </w:rPr>
        <w:t>r</w:t>
      </w:r>
      <w:r>
        <w:rPr>
          <w:rFonts w:ascii="Arial" w:eastAsia="Times New Roman" w:hAnsi="Arial" w:cstheme="minorHAnsi"/>
          <w:b/>
          <w:bCs/>
          <w:i/>
          <w:color w:val="FF0000"/>
          <w:sz w:val="32"/>
          <w:shd w:val="clear" w:color="auto" w:fill="FFFFFF"/>
        </w:rPr>
        <w:t>y</w:t>
      </w:r>
      <w:r>
        <w:rPr>
          <w:rFonts w:ascii="Arial" w:eastAsia="Times New Roman" w:hAnsi="Arial" w:cstheme="minorHAnsi"/>
          <w:b/>
          <w:bCs/>
          <w:i/>
          <w:color w:val="7030A0"/>
          <w:sz w:val="32"/>
          <w:shd w:val="clear" w:color="auto" w:fill="FFFFFF"/>
        </w:rPr>
        <w:t>o</w:t>
      </w:r>
      <w:r>
        <w:rPr>
          <w:rFonts w:ascii="Arial" w:eastAsia="Times New Roman" w:hAnsi="Arial" w:cstheme="minorHAnsi"/>
          <w:b/>
          <w:bCs/>
          <w:i/>
          <w:color w:val="00B050"/>
          <w:sz w:val="32"/>
          <w:shd w:val="clear" w:color="auto" w:fill="FFFFFF"/>
        </w:rPr>
        <w:t>n</w:t>
      </w:r>
      <w:r>
        <w:rPr>
          <w:rFonts w:ascii="Arial" w:eastAsia="Times New Roman" w:hAnsi="Arial" w:cstheme="minorHAnsi"/>
          <w:b/>
          <w:bCs/>
          <w:i/>
          <w:color w:val="FFC000"/>
          <w:sz w:val="32"/>
          <w:shd w:val="clear" w:color="auto" w:fill="FFFFFF"/>
        </w:rPr>
        <w:t>e</w:t>
      </w:r>
      <w:r>
        <w:rPr>
          <w:rFonts w:ascii="Arial" w:eastAsia="Times New Roman" w:hAnsi="Arial" w:cstheme="minorHAnsi"/>
          <w:b/>
          <w:bCs/>
          <w:i/>
          <w:color w:val="FF0000"/>
          <w:sz w:val="32"/>
          <w:shd w:val="clear" w:color="auto" w:fill="FFFFFF"/>
        </w:rPr>
        <w:t>!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C45911"/>
          <w:u w:val="single"/>
          <w:shd w:val="clear" w:color="auto" w:fill="FFFFFF"/>
        </w:rPr>
        <w:t>This week: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D05C12"/>
          <w:shd w:val="clear" w:color="auto" w:fill="FFFFFF"/>
        </w:rPr>
        <w:t>The </w:t>
      </w: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thought for the week</w:t>
      </w:r>
      <w:r>
        <w:rPr>
          <w:rFonts w:ascii="Calibri" w:eastAsia="Times New Roman" w:hAnsi="Calibri" w:cs="Calibri"/>
          <w:color w:val="D05C12"/>
          <w:shd w:val="clear" w:color="auto" w:fill="FFFFFF"/>
        </w:rPr>
        <w:t> this week is </w:t>
      </w:r>
      <w:r>
        <w:rPr>
          <w:rFonts w:ascii="Calibri" w:eastAsia="Times New Roman" w:hAnsi="Calibri" w:cs="Calibri"/>
          <w:b/>
          <w:bCs/>
          <w:color w:val="D05C12"/>
          <w:shd w:val="clear" w:color="auto" w:fill="FFFFFF"/>
        </w:rPr>
        <w:t xml:space="preserve">‘Autism Awareness Week’. </w:t>
      </w: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 xml:space="preserve">This is clearly something that affects us all, directly or indirectly.  PPT circulated. Please use in forms. 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ED7D31" w:themeColor="accent2"/>
        </w:rPr>
      </w:pPr>
      <w:r>
        <w:rPr>
          <w:rFonts w:ascii="Calibri" w:eastAsia="Times New Roman" w:hAnsi="Calibri" w:cs="Calibri"/>
          <w:b/>
          <w:color w:val="FF0000"/>
        </w:rPr>
        <w:t>Monday:</w:t>
      </w:r>
      <w:r>
        <w:rPr>
          <w:rFonts w:ascii="Calibri" w:eastAsia="Times New Roman" w:hAnsi="Calibri" w:cs="Calibri"/>
          <w:color w:val="C45911" w:themeColor="accent2" w:themeShade="BF"/>
        </w:rPr>
        <w:t xml:space="preserve"> J. Doyle in to look at Teaching and Learning period </w:t>
      </w:r>
      <w:proofErr w:type="gramStart"/>
      <w:r>
        <w:rPr>
          <w:rFonts w:ascii="Calibri" w:eastAsia="Times New Roman" w:hAnsi="Calibri" w:cs="Calibri"/>
          <w:color w:val="C45911" w:themeColor="accent2" w:themeShade="BF"/>
        </w:rPr>
        <w:t>1</w:t>
      </w:r>
      <w:proofErr w:type="gramEnd"/>
      <w:r>
        <w:rPr>
          <w:rFonts w:ascii="Calibri" w:eastAsia="Times New Roman" w:hAnsi="Calibri" w:cs="Calibri"/>
          <w:color w:val="C45911" w:themeColor="accent2" w:themeShade="BF"/>
        </w:rPr>
        <w:t>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/>
          <w:color w:val="FF0000"/>
        </w:rPr>
        <w:t>Egg-</w:t>
      </w:r>
      <w:proofErr w:type="spellStart"/>
      <w:r>
        <w:rPr>
          <w:rFonts w:ascii="Calibri" w:eastAsia="Times New Roman" w:hAnsi="Calibri" w:cs="Calibri"/>
          <w:b/>
          <w:color w:val="FF0000"/>
        </w:rPr>
        <w:t>cellent</w:t>
      </w:r>
      <w:proofErr w:type="spellEnd"/>
      <w:r>
        <w:rPr>
          <w:rFonts w:ascii="Calibri" w:eastAsia="Times New Roman" w:hAnsi="Calibri" w:cs="Calibri"/>
          <w:b/>
          <w:color w:val="FF0000"/>
        </w:rPr>
        <w:t xml:space="preserve"> Easter Reads</w:t>
      </w:r>
      <w:r>
        <w:rPr>
          <w:rFonts w:ascii="Calibri" w:eastAsia="Times New Roman" w:hAnsi="Calibri" w:cs="Calibri"/>
          <w:bCs/>
          <w:color w:val="FF0000"/>
          <w:shd w:val="clear" w:color="auto" w:fill="FFFFFF"/>
        </w:rPr>
        <w:t xml:space="preserve">: </w:t>
      </w: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 xml:space="preserve">Point your students in the right direction for reading material this holiday. 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>NQTs</w:t>
      </w:r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  <w:color w:val="C45911" w:themeColor="accent2" w:themeShade="BF"/>
        </w:rPr>
        <w:t xml:space="preserve">– Assessments and observations completed. Many thanks to Subject Mentors and NQTs for their hard work with this. 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 xml:space="preserve">PTSA Trainee </w:t>
      </w:r>
      <w:r>
        <w:rPr>
          <w:rFonts w:ascii="Calibri" w:eastAsia="Times New Roman" w:hAnsi="Calibri" w:cs="Calibri"/>
          <w:color w:val="C45911" w:themeColor="accent2" w:themeShade="BF"/>
        </w:rPr>
        <w:t>– CPD session this Wednesday lunch time in D13 (FBV through OM).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 w:themeColor="accent2" w:themeShade="BF"/>
        </w:rPr>
      </w:pPr>
      <w:r>
        <w:rPr>
          <w:rFonts w:ascii="Calibri" w:eastAsia="Times New Roman" w:hAnsi="Calibri" w:cs="Calibri"/>
          <w:b/>
          <w:color w:val="FF0000"/>
        </w:rPr>
        <w:t>Mini-whiteboards:</w:t>
      </w:r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  <w:color w:val="C45911" w:themeColor="accent2" w:themeShade="BF"/>
        </w:rPr>
        <w:t xml:space="preserve">we have invested in these for everyone and expect to see them </w:t>
      </w:r>
      <w:proofErr w:type="gramStart"/>
      <w:r>
        <w:rPr>
          <w:rFonts w:ascii="Calibri" w:eastAsia="Times New Roman" w:hAnsi="Calibri" w:cs="Calibri"/>
          <w:color w:val="C45911" w:themeColor="accent2" w:themeShade="BF"/>
        </w:rPr>
        <w:t>being used</w:t>
      </w:r>
      <w:proofErr w:type="gramEnd"/>
      <w:r>
        <w:rPr>
          <w:rFonts w:ascii="Calibri" w:eastAsia="Times New Roman" w:hAnsi="Calibri" w:cs="Calibri"/>
          <w:color w:val="C45911" w:themeColor="accent2" w:themeShade="BF"/>
        </w:rPr>
        <w:t xml:space="preserve"> in lessons please.  Replacement pens </w:t>
      </w:r>
      <w:proofErr w:type="gramStart"/>
      <w:r>
        <w:rPr>
          <w:rFonts w:ascii="Calibri" w:eastAsia="Times New Roman" w:hAnsi="Calibri" w:cs="Calibri"/>
          <w:color w:val="C45911" w:themeColor="accent2" w:themeShade="BF"/>
        </w:rPr>
        <w:t>can be collected</w:t>
      </w:r>
      <w:proofErr w:type="gramEnd"/>
      <w:r>
        <w:rPr>
          <w:rFonts w:ascii="Calibri" w:eastAsia="Times New Roman" w:hAnsi="Calibri" w:cs="Calibri"/>
          <w:color w:val="C45911" w:themeColor="accent2" w:themeShade="BF"/>
        </w:rPr>
        <w:t xml:space="preserve"> from G. Roberts in the office. 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538135"/>
          <w:sz w:val="28"/>
          <w:szCs w:val="28"/>
        </w:rPr>
        <w:t>Our T&amp;L Targets: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538135" w:themeColor="accent6" w:themeShade="BF"/>
          <w:szCs w:val="22"/>
        </w:rPr>
        <w:t>Brilliant teaching and learning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 xml:space="preserve">Literacy – book looks will look at how well the literacy marking policy is implemented (i.e. </w:t>
      </w:r>
      <w:proofErr w:type="spellStart"/>
      <w:r>
        <w:rPr>
          <w:rFonts w:ascii="Arial" w:eastAsia="Times New Roman" w:hAnsi="Arial" w:cs="Arial"/>
          <w:color w:val="538135" w:themeColor="accent6" w:themeShade="BF"/>
          <w:szCs w:val="22"/>
        </w:rPr>
        <w:t>sp</w:t>
      </w:r>
      <w:proofErr w:type="spellEnd"/>
      <w:r>
        <w:rPr>
          <w:rFonts w:ascii="Arial" w:eastAsia="Times New Roman" w:hAnsi="Arial" w:cs="Arial"/>
          <w:color w:val="538135" w:themeColor="accent6" w:themeShade="BF"/>
          <w:szCs w:val="22"/>
        </w:rPr>
        <w:t xml:space="preserve">, u, p, np, </w:t>
      </w:r>
      <w:proofErr w:type="spellStart"/>
      <w:r>
        <w:rPr>
          <w:rFonts w:ascii="Arial" w:eastAsia="Times New Roman" w:hAnsi="Arial" w:cs="Arial"/>
          <w:color w:val="538135" w:themeColor="accent6" w:themeShade="BF"/>
          <w:szCs w:val="22"/>
        </w:rPr>
        <w:t>etc</w:t>
      </w:r>
      <w:proofErr w:type="spellEnd"/>
      <w:r>
        <w:rPr>
          <w:rFonts w:ascii="Arial" w:eastAsia="Times New Roman" w:hAnsi="Arial" w:cs="Arial"/>
          <w:color w:val="538135" w:themeColor="accent6" w:themeShade="BF"/>
          <w:szCs w:val="22"/>
        </w:rPr>
        <w:t xml:space="preserve">).                     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>Challenge for all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>Progress for students with low starting points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 w:themeColor="accent6" w:themeShade="BF"/>
          <w:szCs w:val="22"/>
        </w:rPr>
        <w:t>OM CLIPs – cross-curricular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C00000"/>
          <w:sz w:val="28"/>
          <w:szCs w:val="28"/>
          <w:shd w:val="clear" w:color="auto" w:fill="FFFFFF"/>
        </w:rPr>
        <w:t>Think about this…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hyperlink r:id="rId5" w:history="1">
        <w:r>
          <w:rPr>
            <w:rStyle w:val="Hyperlink"/>
            <w:rFonts w:ascii="Arial" w:hAnsi="Arial" w:cs="Arial"/>
            <w:color w:val="C00000"/>
          </w:rPr>
          <w:t>https://www.academia.edu/6445527/Getting_the_max_out_of_mini-whiteboards</w:t>
        </w:r>
      </w:hyperlink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bottom w:w="300" w:type="dxa"/>
        </w:tblCellMar>
        <w:tblLook w:val="04A0" w:firstRow="1" w:lastRow="0" w:firstColumn="1" w:lastColumn="0" w:noHBand="0" w:noVBand="1"/>
      </w:tblPr>
      <w:tblGrid>
        <w:gridCol w:w="3750"/>
        <w:gridCol w:w="5669"/>
      </w:tblGrid>
      <w:tr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>
            <w:pPr>
              <w:shd w:val="clear" w:color="auto" w:fill="FFFFFF"/>
              <w:spacing w:before="300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lastRenderedPageBreak/>
              <w:drawing>
                <wp:inline distT="0" distB="0" distL="0" distR="0">
                  <wp:extent cx="1903095" cy="1903095"/>
                  <wp:effectExtent l="0" t="0" r="1905" b="1905"/>
                  <wp:docPr id="3" name="Picture 3" descr="http://a.academia-assets.com/images/open-graph-icons/fb-paper.gif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540638466780.3488978515872734" descr="http://a.academia-assets.com/images/open-graph-icons/fb-pap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before="300" w:line="315" w:lineRule="atLeast"/>
              <w:rPr>
                <w:rFonts w:ascii="Segoe UI Light" w:eastAsia="Times New Roman" w:hAnsi="Segoe UI Light" w:cs="Segoe UI Light"/>
                <w:color w:val="5FBCA2"/>
                <w:sz w:val="32"/>
                <w:szCs w:val="32"/>
              </w:rPr>
            </w:pPr>
            <w:hyperlink r:id="rId7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(PDF) Getting the max out of mini-whiteboards | Jason Skeet - Academia.edu</w:t>
              </w:r>
            </w:hyperlink>
          </w:p>
          <w:p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hyperlink r:id="rId8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www.academia.edu</w:t>
              </w:r>
            </w:hyperlink>
          </w:p>
          <w:p>
            <w:pPr>
              <w:spacing w:before="30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CLIL Magazine Issue 1: Winter 2012 </w:t>
            </w:r>
            <w:hyperlink r:id="rId9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http://clilmagazine.nl/</w:t>
              </w:r>
            </w:hyperlink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Getting the max out of mini-whiteboards By Jason Skeet A mini-whiteboard is an A4 sized double-sided ...</w:t>
            </w:r>
          </w:p>
        </w:tc>
      </w:tr>
    </w:tbl>
    <w:p>
      <w:pPr>
        <w:rPr>
          <w:rFonts w:ascii="Arial" w:eastAsia="Times New Roman" w:hAnsi="Arial" w:cs="Arial"/>
          <w:color w:val="000000"/>
        </w:rPr>
      </w:pP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C00000"/>
        </w:rPr>
        <w:t xml:space="preserve">This week, focus on using mini-whiteboards.  Some of the barriers to using them may </w:t>
      </w:r>
      <w:proofErr w:type="gramStart"/>
      <w:r>
        <w:rPr>
          <w:rFonts w:ascii="Arial" w:hAnsi="Arial" w:cs="Arial"/>
          <w:color w:val="C00000"/>
        </w:rPr>
        <w:t>be:</w:t>
      </w:r>
      <w:proofErr w:type="gramEnd"/>
      <w:r>
        <w:rPr>
          <w:rFonts w:ascii="Arial" w:hAnsi="Arial" w:cs="Arial"/>
          <w:color w:val="C00000"/>
        </w:rPr>
        <w:t xml:space="preserve"> if they are used everywhere, all of the time, the students will not like using them; or they are a ‘faff’ to give out and get back.  These reasons, though valid, </w:t>
      </w:r>
      <w:proofErr w:type="gramStart"/>
      <w:r>
        <w:rPr>
          <w:rFonts w:ascii="Arial" w:hAnsi="Arial" w:cs="Arial"/>
          <w:color w:val="C00000"/>
        </w:rPr>
        <w:t>are outweighed</w:t>
      </w:r>
      <w:proofErr w:type="gramEnd"/>
      <w:r>
        <w:rPr>
          <w:rFonts w:ascii="Arial" w:hAnsi="Arial" w:cs="Arial"/>
          <w:color w:val="C00000"/>
        </w:rPr>
        <w:t xml:space="preserve"> by the benefits.  They promote independence, engagement, challenge and ‘learning’.  We are all capable of designing a simple entry and exit routine to ensure that the logistics </w:t>
      </w:r>
      <w:proofErr w:type="gramStart"/>
      <w:r>
        <w:rPr>
          <w:rFonts w:ascii="Arial" w:hAnsi="Arial" w:cs="Arial"/>
          <w:color w:val="C00000"/>
        </w:rPr>
        <w:t>don’t</w:t>
      </w:r>
      <w:proofErr w:type="gramEnd"/>
      <w:r>
        <w:rPr>
          <w:rFonts w:ascii="Arial" w:hAnsi="Arial" w:cs="Arial"/>
          <w:color w:val="C00000"/>
        </w:rPr>
        <w:t xml:space="preserve"> interfere with learning. Make them a </w:t>
      </w:r>
      <w:r>
        <w:rPr>
          <w:rFonts w:ascii="Arial" w:hAnsi="Arial" w:cs="Arial"/>
          <w:b/>
          <w:color w:val="C00000"/>
          <w:u w:val="single"/>
        </w:rPr>
        <w:t>regular</w:t>
      </w:r>
      <w:r>
        <w:rPr>
          <w:rFonts w:ascii="Arial" w:hAnsi="Arial" w:cs="Arial"/>
          <w:color w:val="C00000"/>
        </w:rPr>
        <w:t xml:space="preserve"> feature of the lesson and disruption becomes less frequent.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C00000"/>
        </w:rPr>
        <w:t>Promoting Challenge?</w:t>
      </w:r>
      <w:proofErr w:type="gramEnd"/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C00000"/>
        </w:rPr>
        <w:t>Use ‘Bloom’s Question Matrix’ disseminated last year, to nudge students to think about wider questions and to develop their thinking: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997450" cy="3583305"/>
            <wp:effectExtent l="0" t="0" r="0" b="0"/>
            <wp:docPr id="2" name="Picture 2" descr="cid:8f0e23d2-877b-43c3-ae72-03cb9140e4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48045" descr="cid:8f0e23d2-877b-43c3-ae72-03cb9140e4ac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Cs/>
          <w:color w:val="2F5496" w:themeColor="accent5" w:themeShade="BF"/>
          <w:szCs w:val="22"/>
          <w:u w:val="single"/>
          <w:shd w:val="clear" w:color="auto" w:fill="FFFFFF"/>
        </w:rPr>
        <w:t>Talk-Talk!  Structure of the Week: Silent Conversation (Rally Table)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theme="minorHAnsi"/>
          <w:noProof/>
          <w:color w:val="0070C0"/>
        </w:rPr>
        <w:lastRenderedPageBreak/>
        <w:t>N</w:t>
      </w:r>
      <w:proofErr w:type="spellStart"/>
      <w:r>
        <w:rPr>
          <w:rFonts w:ascii="Arial" w:hAnsi="Arial" w:cstheme="minorHAnsi"/>
          <w:color w:val="0070C0"/>
          <w:shd w:val="clear" w:color="auto" w:fill="FFFFFF"/>
        </w:rPr>
        <w:t>ot</w:t>
      </w:r>
      <w:proofErr w:type="spellEnd"/>
      <w:r>
        <w:rPr>
          <w:rFonts w:ascii="Arial" w:hAnsi="Arial" w:cstheme="minorHAnsi"/>
          <w:color w:val="0070C0"/>
          <w:shd w:val="clear" w:color="auto" w:fill="FFFFFF"/>
        </w:rPr>
        <w:t xml:space="preserve"> all learners are equally comfortable or adept at participating in large- or even small-group verbal discussions. Silent conversations capitalise on the social nature of learning by asking students to </w:t>
      </w:r>
      <w:r>
        <w:rPr>
          <w:rFonts w:ascii="Arial" w:hAnsi="Arial" w:cstheme="minorHAnsi"/>
          <w:b/>
          <w:color w:val="FF0000"/>
          <w:shd w:val="clear" w:color="auto" w:fill="FFFFFF"/>
        </w:rPr>
        <w:t>share their thinking</w:t>
      </w:r>
      <w:r>
        <w:rPr>
          <w:rFonts w:ascii="Arial" w:hAnsi="Arial" w:cstheme="minorHAnsi"/>
          <w:color w:val="FF0000"/>
          <w:shd w:val="clear" w:color="auto" w:fill="FFFFFF"/>
        </w:rPr>
        <w:t xml:space="preserve"> </w:t>
      </w:r>
      <w:r>
        <w:rPr>
          <w:rFonts w:ascii="Arial" w:hAnsi="Arial" w:cstheme="minorHAnsi"/>
          <w:color w:val="0070C0"/>
          <w:shd w:val="clear" w:color="auto" w:fill="FFFFFF"/>
        </w:rPr>
        <w:t xml:space="preserve">and </w:t>
      </w:r>
      <w:r>
        <w:rPr>
          <w:rFonts w:ascii="Arial" w:hAnsi="Arial" w:cstheme="minorHAnsi"/>
          <w:b/>
          <w:color w:val="FF0000"/>
          <w:shd w:val="clear" w:color="auto" w:fill="FFFFFF"/>
        </w:rPr>
        <w:t>to build from and reflect on the thinking of others</w:t>
      </w:r>
      <w:r>
        <w:rPr>
          <w:rFonts w:ascii="Arial" w:hAnsi="Arial" w:cstheme="minorHAnsi"/>
          <w:color w:val="0070C0"/>
          <w:shd w:val="clear" w:color="auto" w:fill="FFFFFF"/>
        </w:rPr>
        <w:t>, but they do so by allowing students to use writing for additional time to think and refine their ideas.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hAnsi="Arial" w:cstheme="minorHAnsi"/>
          <w:color w:val="0070C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913380" cy="2190115"/>
            <wp:effectExtent l="0" t="0" r="1270" b="635"/>
            <wp:docPr id="1" name="Picture 1" descr="cid:8b53e328-9ef2-4ebe-9ba3-1980764b6d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27612" descr="cid:8b53e328-9ef2-4ebe-9ba3-1980764b6d3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666666"/>
          <w:sz w:val="19"/>
          <w:szCs w:val="19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Trebuchet MS" w:hAnsi="Trebuchet MS" w:cs="Arial"/>
          <w:color w:val="0070C0"/>
          <w:szCs w:val="19"/>
          <w:shd w:val="clear" w:color="auto" w:fill="FFFFFF"/>
        </w:rPr>
        <w:t xml:space="preserve">Use </w:t>
      </w:r>
      <w:r>
        <w:rPr>
          <w:rFonts w:ascii="Trebuchet MS" w:hAnsi="Trebuchet MS" w:cs="Arial"/>
          <w:b/>
          <w:color w:val="FF0000"/>
          <w:szCs w:val="19"/>
          <w:shd w:val="clear" w:color="auto" w:fill="FFFFFF"/>
        </w:rPr>
        <w:t>mini-whiteboards</w:t>
      </w:r>
      <w:r>
        <w:rPr>
          <w:rFonts w:ascii="Trebuchet MS" w:hAnsi="Trebuchet MS" w:cs="Arial"/>
          <w:color w:val="FF0000"/>
          <w:szCs w:val="19"/>
          <w:shd w:val="clear" w:color="auto" w:fill="FFFFFF"/>
        </w:rPr>
        <w:t xml:space="preserve"> </w:t>
      </w:r>
      <w:r>
        <w:rPr>
          <w:rFonts w:ascii="Trebuchet MS" w:hAnsi="Trebuchet MS" w:cs="Arial"/>
          <w:color w:val="0070C0"/>
          <w:szCs w:val="19"/>
          <w:shd w:val="clear" w:color="auto" w:fill="FFFFFF"/>
        </w:rPr>
        <w:t>to complete this activity. This makes it low-risk and low-threat for students.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 w:val="0"/>
          <w:color w:val="7030A0"/>
          <w:sz w:val="28"/>
          <w:szCs w:val="28"/>
          <w:shd w:val="clear" w:color="auto" w:fill="FFFFFF"/>
        </w:rPr>
        <w:t>Top Tips in Two  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7030A0"/>
        </w:rPr>
        <w:t xml:space="preserve">I have attached the Top Tip schedule for the next </w:t>
      </w:r>
      <w:proofErr w:type="gramStart"/>
      <w:r>
        <w:rPr>
          <w:rFonts w:ascii="Arial" w:hAnsi="Arial" w:cs="Arial"/>
          <w:color w:val="7030A0"/>
        </w:rPr>
        <w:t>half-term</w:t>
      </w:r>
      <w:proofErr w:type="gramEnd"/>
      <w:r>
        <w:rPr>
          <w:rFonts w:ascii="Arial" w:hAnsi="Arial" w:cs="Arial"/>
          <w:color w:val="7030A0"/>
        </w:rPr>
        <w:t xml:space="preserve">.  Please let me know if any of these are a problem. 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tbl>
      <w:tblPr>
        <w:tblW w:w="0" w:type="dxa"/>
        <w:tblInd w:w="562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061"/>
        <w:gridCol w:w="2693"/>
        <w:gridCol w:w="3828"/>
      </w:tblGrid>
      <w:tr>
        <w:tc>
          <w:tcPr>
            <w:tcW w:w="134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nil"/>
            </w:tcBorders>
            <w:shd w:val="clear" w:color="auto" w:fill="4472C4" w:themeFill="accent5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FF0000"/>
                <w:highlight w:val="yellow"/>
              </w:rPr>
              <w:t>W/C</w:t>
            </w:r>
          </w:p>
        </w:tc>
        <w:tc>
          <w:tcPr>
            <w:tcW w:w="1061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shd w:val="clear" w:color="auto" w:fill="4472C4" w:themeFill="accent5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shd w:val="clear" w:color="auto" w:fill="4472C4" w:themeFill="accent5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Cs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</w:p>
        </w:tc>
      </w:tr>
      <w:tr>
        <w:tc>
          <w:tcPr>
            <w:tcW w:w="134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23/04/2019</w:t>
            </w:r>
          </w:p>
        </w:tc>
        <w:tc>
          <w:tcPr>
            <w:tcW w:w="106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WEDS</w:t>
            </w:r>
          </w:p>
        </w:tc>
        <w:tc>
          <w:tcPr>
            <w:tcW w:w="26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Whole-School</w:t>
            </w:r>
          </w:p>
        </w:tc>
        <w:tc>
          <w:tcPr>
            <w:tcW w:w="382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LG – Priorities/Progress this year</w:t>
            </w:r>
          </w:p>
        </w:tc>
      </w:tr>
      <w:tr>
        <w:tc>
          <w:tcPr>
            <w:tcW w:w="134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FRI</w:t>
            </w:r>
          </w:p>
        </w:tc>
        <w:tc>
          <w:tcPr>
            <w:tcW w:w="26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Humanities</w:t>
            </w:r>
          </w:p>
        </w:tc>
        <w:tc>
          <w:tcPr>
            <w:tcW w:w="382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HS - interleaving</w:t>
            </w:r>
          </w:p>
        </w:tc>
      </w:tr>
      <w:tr>
        <w:tc>
          <w:tcPr>
            <w:tcW w:w="134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29/04/2019</w:t>
            </w:r>
          </w:p>
        </w:tc>
        <w:tc>
          <w:tcPr>
            <w:tcW w:w="106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MON</w:t>
            </w:r>
          </w:p>
        </w:tc>
        <w:tc>
          <w:tcPr>
            <w:tcW w:w="26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Cooperative Learning</w:t>
            </w:r>
          </w:p>
        </w:tc>
        <w:tc>
          <w:tcPr>
            <w:tcW w:w="382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CN, WL, LG</w:t>
            </w:r>
          </w:p>
        </w:tc>
      </w:tr>
      <w:tr>
        <w:tc>
          <w:tcPr>
            <w:tcW w:w="134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WEDS</w:t>
            </w:r>
          </w:p>
        </w:tc>
        <w:tc>
          <w:tcPr>
            <w:tcW w:w="26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Pastries and Progress</w:t>
            </w:r>
          </w:p>
        </w:tc>
        <w:tc>
          <w:tcPr>
            <w:tcW w:w="382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KAGAN – Implementing ideas</w:t>
            </w:r>
          </w:p>
        </w:tc>
      </w:tr>
      <w:tr>
        <w:tc>
          <w:tcPr>
            <w:tcW w:w="134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07/05/2019</w:t>
            </w:r>
          </w:p>
        </w:tc>
        <w:tc>
          <w:tcPr>
            <w:tcW w:w="106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WEDS</w:t>
            </w:r>
          </w:p>
        </w:tc>
        <w:tc>
          <w:tcPr>
            <w:tcW w:w="26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Opening Minds</w:t>
            </w:r>
          </w:p>
        </w:tc>
        <w:tc>
          <w:tcPr>
            <w:tcW w:w="382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Cross-curricular links</w:t>
            </w:r>
          </w:p>
        </w:tc>
      </w:tr>
      <w:tr>
        <w:tc>
          <w:tcPr>
            <w:tcW w:w="134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FRI</w:t>
            </w:r>
          </w:p>
        </w:tc>
        <w:tc>
          <w:tcPr>
            <w:tcW w:w="26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Inclusion</w:t>
            </w:r>
          </w:p>
        </w:tc>
        <w:tc>
          <w:tcPr>
            <w:tcW w:w="382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>Learning Support</w:t>
            </w:r>
          </w:p>
        </w:tc>
      </w:tr>
      <w:tr>
        <w:tc>
          <w:tcPr>
            <w:tcW w:w="134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13/05/2019</w:t>
            </w:r>
          </w:p>
        </w:tc>
        <w:tc>
          <w:tcPr>
            <w:tcW w:w="106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MON</w:t>
            </w:r>
          </w:p>
        </w:tc>
        <w:tc>
          <w:tcPr>
            <w:tcW w:w="26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MFL</w:t>
            </w:r>
          </w:p>
        </w:tc>
        <w:tc>
          <w:tcPr>
            <w:tcW w:w="382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D9E2F3" w:themeFill="accent5" w:themeFillTint="33"/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 xml:space="preserve"> </w:t>
            </w:r>
          </w:p>
        </w:tc>
      </w:tr>
      <w:tr>
        <w:tc>
          <w:tcPr>
            <w:tcW w:w="134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  <w:jc w:val="right"/>
            </w:pPr>
            <w:r>
              <w:rPr>
                <w:rFonts w:cstheme="minorHAnsi"/>
                <w:b/>
                <w:bCs/>
                <w:color w:val="000000"/>
              </w:rPr>
              <w:t>20/05/2019</w:t>
            </w:r>
          </w:p>
        </w:tc>
        <w:tc>
          <w:tcPr>
            <w:tcW w:w="106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color w:val="000000"/>
              </w:rPr>
              <w:t>WEDS</w:t>
            </w:r>
          </w:p>
        </w:tc>
        <w:tc>
          <w:tcPr>
            <w:tcW w:w="269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  <w:b/>
                <w:color w:val="000000"/>
              </w:rPr>
              <w:t>Computing</w:t>
            </w:r>
          </w:p>
        </w:tc>
        <w:tc>
          <w:tcPr>
            <w:tcW w:w="382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>
            <w:pPr>
              <w:spacing w:before="100" w:beforeAutospacing="1"/>
            </w:pPr>
            <w:r>
              <w:rPr>
                <w:rFonts w:cstheme="minorHAnsi"/>
              </w:rPr>
              <w:t xml:space="preserve"> </w:t>
            </w:r>
          </w:p>
        </w:tc>
      </w:tr>
    </w:tbl>
    <w:p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color w:val="808080" w:themeColor="background1" w:themeShade="80"/>
          <w:u w:val="single"/>
          <w:shd w:val="clear" w:color="auto" w:fill="FFFFFF"/>
        </w:rPr>
        <w:t>CPD Cascade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hd w:val="clear" w:color="auto" w:fill="FFFFFF"/>
        </w:rPr>
        <w:t xml:space="preserve">Last week, I had the privilege of observing a member of staff and he did something so brilliant but so simple, I just had to share.  As students passed their books to the end of a row, he wrapped them in an elastic band so that they were ready to give out next time.  A simple time-saver to get the next lesson off to a speedy, organised start.  </w:t>
      </w:r>
    </w:p>
    <w:p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hd w:val="clear" w:color="auto" w:fill="FFFFFF"/>
        </w:rPr>
        <w:t> </w:t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3D86"/>
    <w:multiLevelType w:val="multilevel"/>
    <w:tmpl w:val="1414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1C74"/>
    <w:multiLevelType w:val="multilevel"/>
    <w:tmpl w:val="89F4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504DF-7705-4CF3-8ED9-5FA423AD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" TargetMode="External"/><Relationship Id="rId13" Type="http://schemas.openxmlformats.org/officeDocument/2006/relationships/image" Target="cid:8b53e328-9ef2-4ebe-9ba3-1980764b6d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demia.edu/6445527/Getting_the_max_out_of_mini-whiteboard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cid:8f0e23d2-877b-43c3-ae72-03cb9140e4ac" TargetMode="External"/><Relationship Id="rId5" Type="http://schemas.openxmlformats.org/officeDocument/2006/relationships/hyperlink" Target="https://www.academia.edu/6445527/Getting_the_max_out_of_mini-whiteboard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clilmagazine.n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2019-04-01T06:26:00Z</dcterms:created>
  <dcterms:modified xsi:type="dcterms:W3CDTF">2019-04-01T06:27:00Z</dcterms:modified>
</cp:coreProperties>
</file>