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9E3D" w14:textId="77777777" w:rsidR="00E328C6" w:rsidRDefault="00E328C6" w:rsidP="00D44458">
      <w:pPr>
        <w:jc w:val="center"/>
        <w:rPr>
          <w:rFonts w:ascii="Arial" w:hAnsi="Arial" w:cs="Arial"/>
          <w:b/>
          <w:sz w:val="24"/>
        </w:rPr>
      </w:pPr>
      <w:bookmarkStart w:id="0" w:name="_GoBack"/>
      <w:bookmarkEnd w:id="0"/>
    </w:p>
    <w:p w14:paraId="72E29E3E" w14:textId="77777777" w:rsidR="00E328C6" w:rsidRDefault="00E328C6" w:rsidP="00D44458">
      <w:pPr>
        <w:jc w:val="center"/>
        <w:rPr>
          <w:rFonts w:ascii="Arial" w:hAnsi="Arial" w:cs="Arial"/>
          <w:b/>
          <w:sz w:val="24"/>
        </w:rPr>
      </w:pPr>
    </w:p>
    <w:p w14:paraId="72E29E3F" w14:textId="77777777" w:rsidR="00E328C6" w:rsidRDefault="00E328C6" w:rsidP="00D44458">
      <w:pPr>
        <w:jc w:val="center"/>
        <w:rPr>
          <w:rFonts w:ascii="Arial" w:hAnsi="Arial" w:cs="Arial"/>
          <w:b/>
          <w:sz w:val="24"/>
        </w:rPr>
      </w:pPr>
    </w:p>
    <w:p w14:paraId="72E29E40" w14:textId="77777777" w:rsidR="00D44458" w:rsidRPr="006A4398" w:rsidRDefault="00D44458" w:rsidP="00D44458">
      <w:pPr>
        <w:jc w:val="center"/>
        <w:rPr>
          <w:rFonts w:ascii="Arial" w:hAnsi="Arial" w:cs="Arial"/>
          <w:b/>
          <w:sz w:val="24"/>
        </w:rPr>
      </w:pPr>
      <w:r w:rsidRPr="006A4398">
        <w:rPr>
          <w:rFonts w:ascii="Arial" w:hAnsi="Arial" w:cs="Arial"/>
          <w:b/>
          <w:sz w:val="24"/>
        </w:rPr>
        <w:t>Lancashire Secondary Consultant Team</w:t>
      </w:r>
    </w:p>
    <w:p w14:paraId="72E29E41" w14:textId="77777777" w:rsidR="00D44458" w:rsidRPr="006A4398" w:rsidRDefault="00D44458" w:rsidP="00D44458">
      <w:pPr>
        <w:jc w:val="center"/>
        <w:rPr>
          <w:rFonts w:ascii="Arial" w:hAnsi="Arial" w:cs="Arial"/>
          <w:b/>
          <w:sz w:val="32"/>
        </w:rPr>
      </w:pPr>
    </w:p>
    <w:p w14:paraId="72E29E42" w14:textId="77777777" w:rsidR="00D44458" w:rsidRPr="006A4398" w:rsidRDefault="00D44458" w:rsidP="00D44458">
      <w:pPr>
        <w:jc w:val="center"/>
        <w:rPr>
          <w:rFonts w:ascii="Arial" w:hAnsi="Arial" w:cs="Arial"/>
          <w:b/>
          <w:sz w:val="32"/>
        </w:rPr>
      </w:pPr>
    </w:p>
    <w:p w14:paraId="72E29E43" w14:textId="77777777" w:rsidR="00D44458" w:rsidRPr="006A4398" w:rsidRDefault="00D44458" w:rsidP="00D44458">
      <w:pPr>
        <w:jc w:val="center"/>
        <w:rPr>
          <w:rFonts w:ascii="Arial" w:hAnsi="Arial" w:cs="Arial"/>
          <w:b/>
          <w:sz w:val="52"/>
        </w:rPr>
      </w:pPr>
      <w:r w:rsidRPr="006A4398">
        <w:rPr>
          <w:rFonts w:ascii="Arial" w:hAnsi="Arial" w:cs="Arial"/>
          <w:b/>
          <w:noProof/>
          <w:sz w:val="52"/>
          <w:lang w:eastAsia="en-GB"/>
        </w:rPr>
        <mc:AlternateContent>
          <mc:Choice Requires="wps">
            <w:drawing>
              <wp:anchor distT="0" distB="0" distL="114300" distR="114300" simplePos="0" relativeHeight="251658752" behindDoc="0" locked="0" layoutInCell="1" allowOverlap="1" wp14:anchorId="72E29F21" wp14:editId="72E29F22">
                <wp:simplePos x="0" y="0"/>
                <wp:positionH relativeFrom="column">
                  <wp:posOffset>-123825</wp:posOffset>
                </wp:positionH>
                <wp:positionV relativeFrom="paragraph">
                  <wp:posOffset>533400</wp:posOffset>
                </wp:positionV>
                <wp:extent cx="60864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86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C76BCF" id="Straight Connector 1"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9.75pt,42pt" to="469.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" strokecolor="#4579b8 [3044]"/>
            </w:pict>
          </mc:Fallback>
        </mc:AlternateContent>
      </w:r>
      <w:r w:rsidR="002017E8">
        <w:rPr>
          <w:rFonts w:ascii="Arial" w:hAnsi="Arial" w:cs="Arial"/>
          <w:b/>
          <w:sz w:val="52"/>
        </w:rPr>
        <w:t>Science Department</w:t>
      </w:r>
      <w:r w:rsidRPr="006A4398">
        <w:rPr>
          <w:rFonts w:ascii="Arial" w:hAnsi="Arial" w:cs="Arial"/>
          <w:b/>
          <w:sz w:val="52"/>
        </w:rPr>
        <w:t xml:space="preserve"> Review</w:t>
      </w:r>
    </w:p>
    <w:p w14:paraId="72E29E44" w14:textId="77777777" w:rsidR="00D44458" w:rsidRPr="006A4398" w:rsidRDefault="000531EA" w:rsidP="000531EA">
      <w:pPr>
        <w:tabs>
          <w:tab w:val="left" w:pos="5430"/>
        </w:tabs>
        <w:rPr>
          <w:rFonts w:ascii="Arial" w:hAnsi="Arial" w:cs="Arial"/>
          <w:b/>
          <w:sz w:val="32"/>
        </w:rPr>
      </w:pPr>
      <w:r>
        <w:rPr>
          <w:rFonts w:ascii="Arial" w:hAnsi="Arial" w:cs="Arial"/>
          <w:b/>
          <w:sz w:val="32"/>
        </w:rPr>
        <w:tab/>
      </w:r>
    </w:p>
    <w:p w14:paraId="72E29E45" w14:textId="77777777" w:rsidR="00E328C6" w:rsidRDefault="00E328C6" w:rsidP="00D44458">
      <w:pPr>
        <w:jc w:val="center"/>
        <w:rPr>
          <w:rFonts w:ascii="Arial" w:hAnsi="Arial" w:cs="Arial"/>
          <w:b/>
          <w:sz w:val="32"/>
        </w:rPr>
      </w:pPr>
    </w:p>
    <w:p w14:paraId="72E29E46" w14:textId="77777777" w:rsidR="00E328C6" w:rsidRDefault="00E328C6" w:rsidP="00D44458">
      <w:pPr>
        <w:jc w:val="center"/>
        <w:rPr>
          <w:rFonts w:ascii="Arial" w:hAnsi="Arial" w:cs="Arial"/>
          <w:b/>
          <w:sz w:val="32"/>
        </w:rPr>
      </w:pPr>
    </w:p>
    <w:p w14:paraId="72E29E47" w14:textId="4794F93B" w:rsidR="00D44458" w:rsidRDefault="00690A26" w:rsidP="00D44458">
      <w:pPr>
        <w:jc w:val="center"/>
        <w:rPr>
          <w:rFonts w:ascii="Arial" w:hAnsi="Arial" w:cs="Arial"/>
          <w:b/>
          <w:sz w:val="32"/>
        </w:rPr>
      </w:pPr>
      <w:r>
        <w:rPr>
          <w:rFonts w:ascii="Arial" w:hAnsi="Arial" w:cs="Arial"/>
          <w:b/>
          <w:sz w:val="32"/>
        </w:rPr>
        <w:t>October 11</w:t>
      </w:r>
      <w:r w:rsidR="002017E8" w:rsidRPr="002017E8">
        <w:rPr>
          <w:rFonts w:ascii="Arial" w:hAnsi="Arial" w:cs="Arial"/>
          <w:b/>
          <w:sz w:val="32"/>
          <w:vertAlign w:val="superscript"/>
        </w:rPr>
        <w:t>th</w:t>
      </w:r>
      <w:r w:rsidR="00704782">
        <w:rPr>
          <w:rFonts w:ascii="Arial" w:hAnsi="Arial" w:cs="Arial"/>
          <w:b/>
          <w:sz w:val="32"/>
        </w:rPr>
        <w:t>, 2021</w:t>
      </w:r>
    </w:p>
    <w:p w14:paraId="72E29E48" w14:textId="035BB9DF" w:rsidR="002017E8" w:rsidRPr="006A4398" w:rsidRDefault="00690A26" w:rsidP="00D44458">
      <w:pPr>
        <w:jc w:val="center"/>
        <w:rPr>
          <w:rFonts w:ascii="Arial" w:hAnsi="Arial" w:cs="Arial"/>
          <w:b/>
          <w:sz w:val="32"/>
        </w:rPr>
      </w:pPr>
      <w:r>
        <w:rPr>
          <w:rFonts w:ascii="Arial" w:hAnsi="Arial" w:cs="Arial"/>
          <w:b/>
          <w:sz w:val="32"/>
        </w:rPr>
        <w:t>Walton le Dale</w:t>
      </w:r>
      <w:r w:rsidR="004827CA">
        <w:rPr>
          <w:rFonts w:ascii="Arial" w:hAnsi="Arial" w:cs="Arial"/>
          <w:b/>
          <w:sz w:val="32"/>
        </w:rPr>
        <w:t xml:space="preserve"> High School</w:t>
      </w:r>
    </w:p>
    <w:p w14:paraId="72E29E49" w14:textId="77777777" w:rsidR="002D40F5" w:rsidRDefault="002D40F5" w:rsidP="002017E8">
      <w:pPr>
        <w:rPr>
          <w:rFonts w:ascii="Arial" w:hAnsi="Arial" w:cs="Arial"/>
          <w:b/>
          <w:sz w:val="32"/>
        </w:rPr>
      </w:pPr>
    </w:p>
    <w:p w14:paraId="72E29E4A" w14:textId="77777777" w:rsidR="002D40F5" w:rsidRDefault="002D40F5" w:rsidP="00D44458">
      <w:pPr>
        <w:jc w:val="center"/>
        <w:rPr>
          <w:rFonts w:ascii="Arial" w:hAnsi="Arial" w:cs="Arial"/>
          <w:b/>
          <w:sz w:val="32"/>
        </w:rPr>
      </w:pPr>
    </w:p>
    <w:p w14:paraId="72E29E4B" w14:textId="77777777" w:rsidR="002D40F5" w:rsidRDefault="002D40F5" w:rsidP="00D44458">
      <w:pPr>
        <w:jc w:val="center"/>
        <w:rPr>
          <w:rFonts w:ascii="Arial" w:hAnsi="Arial" w:cs="Arial"/>
          <w:b/>
          <w:sz w:val="32"/>
        </w:rPr>
      </w:pPr>
      <w:r>
        <w:rPr>
          <w:rFonts w:ascii="Arial" w:hAnsi="Arial" w:cs="Arial"/>
          <w:b/>
          <w:noProof/>
          <w:sz w:val="24"/>
          <w:lang w:eastAsia="en-GB"/>
        </w:rPr>
        <w:drawing>
          <wp:anchor distT="0" distB="0" distL="114300" distR="114300" simplePos="0" relativeHeight="251660288" behindDoc="1" locked="0" layoutInCell="1" allowOverlap="1" wp14:anchorId="72E29F23" wp14:editId="72E29F24">
            <wp:simplePos x="0" y="0"/>
            <wp:positionH relativeFrom="column">
              <wp:posOffset>1405255</wp:posOffset>
            </wp:positionH>
            <wp:positionV relativeFrom="page">
              <wp:posOffset>7477125</wp:posOffset>
            </wp:positionV>
            <wp:extent cx="3104515" cy="1562100"/>
            <wp:effectExtent l="0" t="0" r="635" b="0"/>
            <wp:wrapThrough wrapText="bothSides">
              <wp:wrapPolygon edited="0">
                <wp:start x="0" y="0"/>
                <wp:lineTo x="0" y="21337"/>
                <wp:lineTo x="21472" y="21337"/>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515" cy="1562100"/>
                    </a:xfrm>
                    <a:prstGeom prst="rect">
                      <a:avLst/>
                    </a:prstGeom>
                  </pic:spPr>
                </pic:pic>
              </a:graphicData>
            </a:graphic>
            <wp14:sizeRelH relativeFrom="margin">
              <wp14:pctWidth>0</wp14:pctWidth>
            </wp14:sizeRelH>
            <wp14:sizeRelV relativeFrom="margin">
              <wp14:pctHeight>0</wp14:pctHeight>
            </wp14:sizeRelV>
          </wp:anchor>
        </w:drawing>
      </w:r>
    </w:p>
    <w:p w14:paraId="72E29E4C" w14:textId="77777777" w:rsidR="00D44458" w:rsidRPr="006A4398" w:rsidRDefault="00D44458" w:rsidP="00D44458">
      <w:pPr>
        <w:jc w:val="center"/>
        <w:rPr>
          <w:rFonts w:ascii="Arial" w:hAnsi="Arial" w:cs="Arial"/>
          <w:b/>
        </w:rPr>
      </w:pPr>
      <w:r w:rsidRPr="006A4398">
        <w:rPr>
          <w:rFonts w:ascii="Arial" w:hAnsi="Arial" w:cs="Arial"/>
          <w:b/>
        </w:rPr>
        <w:br w:type="page"/>
      </w:r>
    </w:p>
    <w:p w14:paraId="72E29E4D" w14:textId="6F6A7E8C" w:rsidR="00BD46C5" w:rsidRPr="006A4398" w:rsidRDefault="004151DF" w:rsidP="00BD46C5">
      <w:pPr>
        <w:spacing w:after="0"/>
        <w:jc w:val="center"/>
        <w:rPr>
          <w:rFonts w:ascii="Arial" w:hAnsi="Arial" w:cs="Arial"/>
          <w:b/>
        </w:rPr>
      </w:pPr>
      <w:r>
        <w:rPr>
          <w:rFonts w:ascii="Arial" w:hAnsi="Arial" w:cs="Arial"/>
          <w:b/>
        </w:rPr>
        <w:lastRenderedPageBreak/>
        <w:t>Walton le Dale High School</w:t>
      </w:r>
    </w:p>
    <w:p w14:paraId="72E29E4E" w14:textId="5271C831" w:rsidR="00BD46C5" w:rsidRPr="006A4398" w:rsidRDefault="004151DF" w:rsidP="00BD46C5">
      <w:pPr>
        <w:spacing w:after="0"/>
        <w:jc w:val="center"/>
        <w:rPr>
          <w:rFonts w:ascii="Arial" w:hAnsi="Arial" w:cs="Arial"/>
          <w:b/>
        </w:rPr>
      </w:pPr>
      <w:r>
        <w:rPr>
          <w:rFonts w:ascii="Arial" w:hAnsi="Arial" w:cs="Arial"/>
          <w:b/>
        </w:rPr>
        <w:t>11</w:t>
      </w:r>
      <w:r w:rsidRPr="004151DF">
        <w:rPr>
          <w:rFonts w:ascii="Arial" w:hAnsi="Arial" w:cs="Arial"/>
          <w:b/>
          <w:vertAlign w:val="superscript"/>
        </w:rPr>
        <w:t>th</w:t>
      </w:r>
      <w:r>
        <w:rPr>
          <w:rFonts w:ascii="Arial" w:hAnsi="Arial" w:cs="Arial"/>
          <w:b/>
        </w:rPr>
        <w:t xml:space="preserve"> October 2021</w:t>
      </w:r>
    </w:p>
    <w:p w14:paraId="72E29E4F" w14:textId="653DB48F" w:rsidR="00381F79" w:rsidRPr="006A4398" w:rsidRDefault="00284A81" w:rsidP="00381F79">
      <w:pPr>
        <w:pStyle w:val="Header"/>
        <w:rPr>
          <w:rFonts w:ascii="Arial" w:hAnsi="Arial" w:cs="Arial"/>
        </w:rPr>
      </w:pPr>
      <w:r>
        <w:rPr>
          <w:rFonts w:ascii="Arial" w:hAnsi="Arial" w:cs="Arial"/>
          <w:b/>
        </w:rPr>
        <w:tab/>
      </w:r>
      <w:r w:rsidR="00381F79" w:rsidRPr="006A4398">
        <w:rPr>
          <w:rFonts w:ascii="Arial" w:hAnsi="Arial" w:cs="Arial"/>
          <w:b/>
        </w:rPr>
        <w:t xml:space="preserve">Carried out </w:t>
      </w:r>
      <w:r w:rsidR="004151DF" w:rsidRPr="006A4398">
        <w:rPr>
          <w:rFonts w:ascii="Arial" w:hAnsi="Arial" w:cs="Arial"/>
          <w:b/>
        </w:rPr>
        <w:t>by</w:t>
      </w:r>
      <w:r w:rsidR="00381F79" w:rsidRPr="006A4398">
        <w:rPr>
          <w:rFonts w:ascii="Arial" w:hAnsi="Arial" w:cs="Arial"/>
          <w:b/>
        </w:rPr>
        <w:t xml:space="preserve"> </w:t>
      </w:r>
      <w:r w:rsidR="002017E8">
        <w:rPr>
          <w:rFonts w:ascii="Arial" w:hAnsi="Arial" w:cs="Arial"/>
          <w:b/>
          <w:i/>
        </w:rPr>
        <w:t>Andy Pearson – Secondary Science Consultant</w:t>
      </w:r>
    </w:p>
    <w:p w14:paraId="72E29E50" w14:textId="77777777" w:rsidR="00BD46C5" w:rsidRPr="006A4398" w:rsidRDefault="00BD46C5" w:rsidP="00BD46C5">
      <w:pPr>
        <w:spacing w:after="0"/>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E52" w14:textId="77777777" w:rsidTr="00475E16">
        <w:trPr>
          <w:trHeight w:val="454"/>
        </w:trPr>
        <w:tc>
          <w:tcPr>
            <w:tcW w:w="9242" w:type="dxa"/>
            <w:shd w:val="clear" w:color="auto" w:fill="D9D9D9" w:themeFill="background1" w:themeFillShade="D9"/>
            <w:vAlign w:val="center"/>
          </w:tcPr>
          <w:p w14:paraId="72E29E51" w14:textId="77777777" w:rsidR="00BD46C5" w:rsidRPr="006A4398" w:rsidRDefault="00BD46C5" w:rsidP="00BD46C5">
            <w:pPr>
              <w:rPr>
                <w:rFonts w:ascii="Arial" w:hAnsi="Arial" w:cs="Arial"/>
              </w:rPr>
            </w:pPr>
            <w:r w:rsidRPr="006A4398">
              <w:rPr>
                <w:rFonts w:ascii="Arial" w:hAnsi="Arial" w:cs="Arial"/>
                <w:b/>
                <w:u w:val="single"/>
              </w:rPr>
              <w:t>Context of review</w:t>
            </w:r>
          </w:p>
        </w:tc>
      </w:tr>
      <w:tr w:rsidR="00BD46C5" w:rsidRPr="006A4398" w14:paraId="72E29E5C" w14:textId="77777777" w:rsidTr="00DC6116">
        <w:trPr>
          <w:trHeight w:val="2268"/>
        </w:trPr>
        <w:tc>
          <w:tcPr>
            <w:tcW w:w="9242" w:type="dxa"/>
          </w:tcPr>
          <w:p w14:paraId="72E29E53" w14:textId="26663056" w:rsidR="00BD46C5" w:rsidRDefault="00063E05" w:rsidP="00BD46C5">
            <w:pPr>
              <w:rPr>
                <w:rFonts w:ascii="Arial" w:hAnsi="Arial" w:cs="Arial"/>
              </w:rPr>
            </w:pPr>
            <w:r w:rsidRPr="00063E05">
              <w:rPr>
                <w:rFonts w:ascii="Arial" w:hAnsi="Arial" w:cs="Arial"/>
              </w:rPr>
              <w:t xml:space="preserve">The review has taken place in response to an invitation from the Headteacher and </w:t>
            </w:r>
            <w:r w:rsidR="00E02059">
              <w:rPr>
                <w:rFonts w:ascii="Arial" w:hAnsi="Arial" w:cs="Arial"/>
              </w:rPr>
              <w:t>Subject Leader for Science to help establish a measure of the quality of education in Science</w:t>
            </w:r>
          </w:p>
          <w:p w14:paraId="72E29E54" w14:textId="77777777" w:rsidR="00063E05" w:rsidRPr="00063E05" w:rsidRDefault="00063E05" w:rsidP="00BD46C5">
            <w:pPr>
              <w:rPr>
                <w:rFonts w:ascii="Arial" w:hAnsi="Arial" w:cs="Arial"/>
                <w:color w:val="FF0000"/>
              </w:rPr>
            </w:pPr>
          </w:p>
          <w:p w14:paraId="72E29E55" w14:textId="5FB214C0" w:rsidR="00BD46C5" w:rsidRPr="00063E05" w:rsidRDefault="00063E05" w:rsidP="00BD46C5">
            <w:pPr>
              <w:rPr>
                <w:rFonts w:ascii="Arial" w:hAnsi="Arial" w:cs="Arial"/>
              </w:rPr>
            </w:pPr>
            <w:r>
              <w:rPr>
                <w:rFonts w:ascii="Arial" w:hAnsi="Arial" w:cs="Arial"/>
              </w:rPr>
              <w:t xml:space="preserve">The review took place over the whole school day </w:t>
            </w:r>
            <w:r w:rsidR="00B61DBD">
              <w:rPr>
                <w:rFonts w:ascii="Arial" w:hAnsi="Arial" w:cs="Arial"/>
              </w:rPr>
              <w:t xml:space="preserve">Monday </w:t>
            </w:r>
            <w:r w:rsidR="00E02059">
              <w:rPr>
                <w:rFonts w:ascii="Arial" w:hAnsi="Arial" w:cs="Arial"/>
              </w:rPr>
              <w:t>11</w:t>
            </w:r>
            <w:r w:rsidR="00E02059" w:rsidRPr="00E02059">
              <w:rPr>
                <w:rFonts w:ascii="Arial" w:hAnsi="Arial" w:cs="Arial"/>
                <w:vertAlign w:val="superscript"/>
              </w:rPr>
              <w:t>th</w:t>
            </w:r>
            <w:r w:rsidR="00E02059">
              <w:rPr>
                <w:rFonts w:ascii="Arial" w:hAnsi="Arial" w:cs="Arial"/>
              </w:rPr>
              <w:t xml:space="preserve"> October 2021</w:t>
            </w:r>
            <w:r>
              <w:rPr>
                <w:rFonts w:ascii="Arial" w:hAnsi="Arial" w:cs="Arial"/>
              </w:rPr>
              <w:t xml:space="preserve"> and included the following activities:</w:t>
            </w:r>
          </w:p>
          <w:p w14:paraId="72E29E56" w14:textId="52596B61" w:rsidR="006361D1" w:rsidRDefault="008216CB" w:rsidP="00063E05">
            <w:pPr>
              <w:pStyle w:val="ListParagraph"/>
              <w:numPr>
                <w:ilvl w:val="0"/>
                <w:numId w:val="3"/>
              </w:numPr>
              <w:rPr>
                <w:rFonts w:ascii="Arial" w:hAnsi="Arial" w:cs="Arial"/>
              </w:rPr>
            </w:pPr>
            <w:r>
              <w:rPr>
                <w:rFonts w:ascii="Arial" w:hAnsi="Arial" w:cs="Arial"/>
              </w:rPr>
              <w:t>Discussion with Subject Leader for Science regarding the intent of science education at Walton le Dale. Discussion focuses on curriculum, progression within the curriculum and what students are expected to know and can do as a result of experiencing the science curriculum</w:t>
            </w:r>
            <w:r w:rsidR="00DD48AC">
              <w:rPr>
                <w:rFonts w:ascii="Arial" w:hAnsi="Arial" w:cs="Arial"/>
              </w:rPr>
              <w:t>.</w:t>
            </w:r>
          </w:p>
          <w:p w14:paraId="72E29E57" w14:textId="6FCF1708" w:rsidR="00063E05" w:rsidRDefault="008216CB" w:rsidP="00063E05">
            <w:pPr>
              <w:pStyle w:val="ListParagraph"/>
              <w:numPr>
                <w:ilvl w:val="0"/>
                <w:numId w:val="3"/>
              </w:numPr>
              <w:rPr>
                <w:rFonts w:ascii="Arial" w:hAnsi="Arial" w:cs="Arial"/>
              </w:rPr>
            </w:pPr>
            <w:r>
              <w:rPr>
                <w:rFonts w:ascii="Arial" w:hAnsi="Arial" w:cs="Arial"/>
              </w:rPr>
              <w:t>Discussion with Assistant Subject Leader</w:t>
            </w:r>
            <w:r w:rsidR="00DD48AC">
              <w:rPr>
                <w:rFonts w:ascii="Arial" w:hAnsi="Arial" w:cs="Arial"/>
              </w:rPr>
              <w:t xml:space="preserve"> regarding the use of assessment within science, focusing on assessment </w:t>
            </w:r>
            <w:r w:rsidR="00DD48AC" w:rsidRPr="00DD48AC">
              <w:rPr>
                <w:rFonts w:ascii="Arial" w:hAnsi="Arial" w:cs="Arial"/>
                <w:u w:val="single"/>
              </w:rPr>
              <w:t>for</w:t>
            </w:r>
            <w:r w:rsidR="00DD48AC">
              <w:rPr>
                <w:rFonts w:ascii="Arial" w:hAnsi="Arial" w:cs="Arial"/>
              </w:rPr>
              <w:t xml:space="preserve"> learning, assessment </w:t>
            </w:r>
            <w:r w:rsidR="00DD48AC" w:rsidRPr="00DD48AC">
              <w:rPr>
                <w:rFonts w:ascii="Arial" w:hAnsi="Arial" w:cs="Arial"/>
                <w:u w:val="single"/>
              </w:rPr>
              <w:t>of</w:t>
            </w:r>
            <w:r w:rsidR="00DD48AC">
              <w:rPr>
                <w:rFonts w:ascii="Arial" w:hAnsi="Arial" w:cs="Arial"/>
              </w:rPr>
              <w:t xml:space="preserve"> learning and assessment </w:t>
            </w:r>
            <w:r w:rsidR="00DD48AC" w:rsidRPr="00DD48AC">
              <w:rPr>
                <w:rFonts w:ascii="Arial" w:hAnsi="Arial" w:cs="Arial"/>
                <w:u w:val="single"/>
              </w:rPr>
              <w:t>as</w:t>
            </w:r>
            <w:r w:rsidR="00DD48AC">
              <w:rPr>
                <w:rFonts w:ascii="Arial" w:hAnsi="Arial" w:cs="Arial"/>
              </w:rPr>
              <w:t xml:space="preserve"> learning.</w:t>
            </w:r>
          </w:p>
          <w:p w14:paraId="72E29E58" w14:textId="5784C3B0" w:rsidR="006969EF" w:rsidRDefault="00DD48AC" w:rsidP="00063E05">
            <w:pPr>
              <w:pStyle w:val="ListParagraph"/>
              <w:numPr>
                <w:ilvl w:val="0"/>
                <w:numId w:val="3"/>
              </w:numPr>
              <w:rPr>
                <w:rFonts w:ascii="Arial" w:hAnsi="Arial" w:cs="Arial"/>
              </w:rPr>
            </w:pPr>
            <w:r>
              <w:rPr>
                <w:rFonts w:ascii="Arial" w:hAnsi="Arial" w:cs="Arial"/>
              </w:rPr>
              <w:t xml:space="preserve">A series of accompanied lesson visits, eleven in total, visiting a range of year groups, </w:t>
            </w:r>
            <w:r w:rsidR="003E2CE8">
              <w:rPr>
                <w:rFonts w:ascii="Arial" w:hAnsi="Arial" w:cs="Arial"/>
              </w:rPr>
              <w:t xml:space="preserve">prior </w:t>
            </w:r>
            <w:r>
              <w:rPr>
                <w:rFonts w:ascii="Arial" w:hAnsi="Arial" w:cs="Arial"/>
              </w:rPr>
              <w:t xml:space="preserve">abilities and staff members in order to judge the implementation and impact of the science curriculum. Visits shared with subject leader, assistant subject leader and </w:t>
            </w:r>
            <w:r w:rsidR="00CB6B3E">
              <w:rPr>
                <w:rFonts w:ascii="Arial" w:hAnsi="Arial" w:cs="Arial"/>
              </w:rPr>
              <w:t>assistant</w:t>
            </w:r>
            <w:r>
              <w:rPr>
                <w:rFonts w:ascii="Arial" w:hAnsi="Arial" w:cs="Arial"/>
              </w:rPr>
              <w:t xml:space="preserve"> headteacher</w:t>
            </w:r>
            <w:r w:rsidR="00CB6B3E">
              <w:rPr>
                <w:rFonts w:ascii="Arial" w:hAnsi="Arial" w:cs="Arial"/>
              </w:rPr>
              <w:t xml:space="preserve"> (teaching and learning)</w:t>
            </w:r>
            <w:r>
              <w:rPr>
                <w:rFonts w:ascii="Arial" w:hAnsi="Arial" w:cs="Arial"/>
              </w:rPr>
              <w:t>.</w:t>
            </w:r>
            <w:r w:rsidR="005C6DC2">
              <w:rPr>
                <w:rFonts w:ascii="Arial" w:hAnsi="Arial" w:cs="Arial"/>
              </w:rPr>
              <w:t xml:space="preserve"> Both Science and Psychology lessons were visited.</w:t>
            </w:r>
          </w:p>
          <w:p w14:paraId="5CEF0459" w14:textId="77777777" w:rsidR="006969EF" w:rsidRDefault="003E2CE8" w:rsidP="00DD48AC">
            <w:pPr>
              <w:pStyle w:val="ListParagraph"/>
              <w:numPr>
                <w:ilvl w:val="0"/>
                <w:numId w:val="3"/>
              </w:numPr>
              <w:rPr>
                <w:rFonts w:ascii="Arial" w:hAnsi="Arial" w:cs="Arial"/>
              </w:rPr>
            </w:pPr>
            <w:r>
              <w:rPr>
                <w:rFonts w:ascii="Arial" w:hAnsi="Arial" w:cs="Arial"/>
              </w:rPr>
              <w:t>Student voice with five students from different year groups, teaching groups and of a variety of prior attainment.</w:t>
            </w:r>
          </w:p>
          <w:p w14:paraId="72E29E5B" w14:textId="1CDCC7F0" w:rsidR="003E2CE8" w:rsidRPr="00063E05" w:rsidRDefault="003E2CE8" w:rsidP="003E2CE8">
            <w:pPr>
              <w:pStyle w:val="ListParagraph"/>
              <w:rPr>
                <w:rFonts w:ascii="Arial" w:hAnsi="Arial" w:cs="Arial"/>
              </w:rPr>
            </w:pPr>
          </w:p>
        </w:tc>
      </w:tr>
    </w:tbl>
    <w:p w14:paraId="72E29E5D" w14:textId="77777777" w:rsidR="006361D1" w:rsidRPr="006A4398" w:rsidRDefault="006361D1">
      <w:pPr>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E5F" w14:textId="77777777" w:rsidTr="00475E16">
        <w:trPr>
          <w:trHeight w:val="454"/>
        </w:trPr>
        <w:tc>
          <w:tcPr>
            <w:tcW w:w="9242" w:type="dxa"/>
            <w:shd w:val="clear" w:color="auto" w:fill="D9D9D9" w:themeFill="background1" w:themeFillShade="D9"/>
            <w:vAlign w:val="center"/>
          </w:tcPr>
          <w:p w14:paraId="72E29E5E" w14:textId="77777777" w:rsidR="00BD46C5" w:rsidRPr="006A4398" w:rsidRDefault="00BD46C5" w:rsidP="00BD46C5">
            <w:pPr>
              <w:rPr>
                <w:rFonts w:ascii="Arial" w:hAnsi="Arial" w:cs="Arial"/>
              </w:rPr>
            </w:pPr>
            <w:r w:rsidRPr="006A4398">
              <w:rPr>
                <w:rFonts w:ascii="Arial" w:hAnsi="Arial" w:cs="Arial"/>
                <w:b/>
                <w:u w:val="single"/>
              </w:rPr>
              <w:t>Data review</w:t>
            </w:r>
          </w:p>
        </w:tc>
      </w:tr>
      <w:tr w:rsidR="00BD46C5" w:rsidRPr="006A4398" w14:paraId="72E29ECE" w14:textId="77777777" w:rsidTr="009917A6">
        <w:trPr>
          <w:trHeight w:val="1266"/>
        </w:trPr>
        <w:tc>
          <w:tcPr>
            <w:tcW w:w="9242" w:type="dxa"/>
          </w:tcPr>
          <w:p w14:paraId="72E29E60" w14:textId="5EAE52CC" w:rsidR="006361D1" w:rsidRDefault="00D86C38" w:rsidP="00BD46C5">
            <w:pPr>
              <w:rPr>
                <w:rFonts w:ascii="Arial" w:hAnsi="Arial" w:cs="Arial"/>
              </w:rPr>
            </w:pPr>
            <w:r w:rsidRPr="00D86C38">
              <w:rPr>
                <w:rFonts w:ascii="Arial" w:hAnsi="Arial" w:cs="Arial"/>
              </w:rPr>
              <w:t>Outcomes for Summer 201</w:t>
            </w:r>
            <w:r w:rsidR="00C3673A">
              <w:rPr>
                <w:rFonts w:ascii="Arial" w:hAnsi="Arial" w:cs="Arial"/>
              </w:rPr>
              <w:t>9</w:t>
            </w:r>
            <w:r>
              <w:rPr>
                <w:rFonts w:ascii="Arial" w:hAnsi="Arial" w:cs="Arial"/>
              </w:rPr>
              <w:t>:</w:t>
            </w:r>
          </w:p>
          <w:p w14:paraId="72E29E61" w14:textId="77777777" w:rsidR="008F4092" w:rsidRDefault="00D86C38" w:rsidP="00BD46C5">
            <w:pPr>
              <w:rPr>
                <w:rFonts w:ascii="Arial" w:hAnsi="Arial" w:cs="Arial"/>
              </w:rPr>
            </w:pPr>
            <w:r w:rsidRPr="00594EE9">
              <w:rPr>
                <w:rFonts w:ascii="Arial" w:hAnsi="Arial" w:cs="Arial"/>
                <w:b/>
              </w:rPr>
              <w:t>Combined Science</w:t>
            </w:r>
          </w:p>
          <w:tbl>
            <w:tblPr>
              <w:tblStyle w:val="TableGrid"/>
              <w:tblW w:w="0" w:type="auto"/>
              <w:tblLook w:val="04A0" w:firstRow="1" w:lastRow="0" w:firstColumn="1" w:lastColumn="0" w:noHBand="0" w:noVBand="1"/>
            </w:tblPr>
            <w:tblGrid>
              <w:gridCol w:w="1281"/>
              <w:gridCol w:w="3557"/>
              <w:gridCol w:w="988"/>
              <w:gridCol w:w="988"/>
              <w:gridCol w:w="988"/>
              <w:gridCol w:w="988"/>
            </w:tblGrid>
            <w:tr w:rsidR="00155835" w14:paraId="72E29E69" w14:textId="77777777" w:rsidTr="003A72A6">
              <w:tc>
                <w:tcPr>
                  <w:tcW w:w="1281" w:type="dxa"/>
                </w:tcPr>
                <w:p w14:paraId="72E29E62" w14:textId="77777777" w:rsidR="00155835" w:rsidRDefault="00155835" w:rsidP="00473073">
                  <w:pPr>
                    <w:jc w:val="center"/>
                    <w:rPr>
                      <w:rFonts w:ascii="Arial" w:hAnsi="Arial" w:cs="Arial"/>
                    </w:rPr>
                  </w:pPr>
                  <w:r>
                    <w:rPr>
                      <w:rFonts w:ascii="Arial" w:hAnsi="Arial" w:cs="Arial"/>
                    </w:rPr>
                    <w:t>Number of candidates</w:t>
                  </w:r>
                </w:p>
              </w:tc>
              <w:tc>
                <w:tcPr>
                  <w:tcW w:w="3557" w:type="dxa"/>
                </w:tcPr>
                <w:p w14:paraId="72E29E64" w14:textId="7FEBDBD5" w:rsidR="00155835" w:rsidRPr="005C6DC2" w:rsidRDefault="00155835" w:rsidP="00473073">
                  <w:pPr>
                    <w:jc w:val="center"/>
                    <w:rPr>
                      <w:rFonts w:ascii="Arial" w:hAnsi="Arial" w:cs="Arial"/>
                      <w:sz w:val="20"/>
                      <w:szCs w:val="20"/>
                    </w:rPr>
                  </w:pPr>
                </w:p>
              </w:tc>
              <w:tc>
                <w:tcPr>
                  <w:tcW w:w="988" w:type="dxa"/>
                </w:tcPr>
                <w:p w14:paraId="72E29E65" w14:textId="77777777" w:rsidR="00155835" w:rsidRPr="005C6DC2" w:rsidRDefault="00155835" w:rsidP="00473073">
                  <w:pPr>
                    <w:jc w:val="center"/>
                    <w:rPr>
                      <w:rFonts w:ascii="Arial" w:hAnsi="Arial" w:cs="Arial"/>
                      <w:sz w:val="20"/>
                      <w:szCs w:val="20"/>
                    </w:rPr>
                  </w:pPr>
                  <w:r w:rsidRPr="005C6DC2">
                    <w:rPr>
                      <w:rFonts w:ascii="Arial" w:hAnsi="Arial" w:cs="Arial"/>
                      <w:sz w:val="20"/>
                      <w:szCs w:val="20"/>
                    </w:rPr>
                    <w:t>% 7-7 &amp; above</w:t>
                  </w:r>
                </w:p>
              </w:tc>
              <w:tc>
                <w:tcPr>
                  <w:tcW w:w="988" w:type="dxa"/>
                </w:tcPr>
                <w:p w14:paraId="72E29E66" w14:textId="77777777" w:rsidR="00155835" w:rsidRPr="005C6DC2" w:rsidRDefault="00155835" w:rsidP="00473073">
                  <w:pPr>
                    <w:jc w:val="center"/>
                    <w:rPr>
                      <w:rFonts w:ascii="Arial" w:hAnsi="Arial" w:cs="Arial"/>
                      <w:sz w:val="20"/>
                      <w:szCs w:val="20"/>
                    </w:rPr>
                  </w:pPr>
                  <w:r w:rsidRPr="005C6DC2">
                    <w:rPr>
                      <w:rFonts w:ascii="Arial" w:hAnsi="Arial" w:cs="Arial"/>
                      <w:sz w:val="20"/>
                      <w:szCs w:val="20"/>
                    </w:rPr>
                    <w:t>% 5-5 &amp; above</w:t>
                  </w:r>
                </w:p>
              </w:tc>
              <w:tc>
                <w:tcPr>
                  <w:tcW w:w="988" w:type="dxa"/>
                </w:tcPr>
                <w:p w14:paraId="72E29E67" w14:textId="77777777" w:rsidR="00155835" w:rsidRPr="005C6DC2" w:rsidRDefault="00155835" w:rsidP="00473073">
                  <w:pPr>
                    <w:jc w:val="center"/>
                    <w:rPr>
                      <w:rFonts w:ascii="Arial" w:hAnsi="Arial" w:cs="Arial"/>
                      <w:sz w:val="20"/>
                      <w:szCs w:val="20"/>
                    </w:rPr>
                  </w:pPr>
                  <w:r w:rsidRPr="005C6DC2">
                    <w:rPr>
                      <w:rFonts w:ascii="Arial" w:hAnsi="Arial" w:cs="Arial"/>
                      <w:sz w:val="20"/>
                      <w:szCs w:val="20"/>
                    </w:rPr>
                    <w:t>% 4-4 &amp; above</w:t>
                  </w:r>
                </w:p>
              </w:tc>
              <w:tc>
                <w:tcPr>
                  <w:tcW w:w="988" w:type="dxa"/>
                </w:tcPr>
                <w:p w14:paraId="72E29E68" w14:textId="77777777" w:rsidR="00155835" w:rsidRPr="005C6DC2" w:rsidRDefault="00155835" w:rsidP="00473073">
                  <w:pPr>
                    <w:jc w:val="center"/>
                    <w:rPr>
                      <w:rFonts w:ascii="Arial" w:hAnsi="Arial" w:cs="Arial"/>
                      <w:sz w:val="20"/>
                      <w:szCs w:val="20"/>
                    </w:rPr>
                  </w:pPr>
                  <w:r w:rsidRPr="005C6DC2">
                    <w:rPr>
                      <w:rFonts w:ascii="Arial" w:hAnsi="Arial" w:cs="Arial"/>
                      <w:sz w:val="20"/>
                      <w:szCs w:val="20"/>
                    </w:rPr>
                    <w:t>% 1-1 &amp; above</w:t>
                  </w:r>
                </w:p>
              </w:tc>
            </w:tr>
            <w:tr w:rsidR="00155835" w14:paraId="72E29E71" w14:textId="77777777" w:rsidTr="008F326F">
              <w:tc>
                <w:tcPr>
                  <w:tcW w:w="1281" w:type="dxa"/>
                </w:tcPr>
                <w:p w14:paraId="72E29E6A" w14:textId="1DAEF093" w:rsidR="00155835" w:rsidRDefault="00155835" w:rsidP="008051D2">
                  <w:pPr>
                    <w:jc w:val="center"/>
                    <w:rPr>
                      <w:rFonts w:ascii="Arial" w:hAnsi="Arial" w:cs="Arial"/>
                    </w:rPr>
                  </w:pPr>
                  <w:r>
                    <w:rPr>
                      <w:rFonts w:ascii="Arial" w:hAnsi="Arial" w:cs="Arial"/>
                    </w:rPr>
                    <w:t>8,235</w:t>
                  </w:r>
                </w:p>
              </w:tc>
              <w:tc>
                <w:tcPr>
                  <w:tcW w:w="3557" w:type="dxa"/>
                </w:tcPr>
                <w:p w14:paraId="72E29E6C" w14:textId="58A9A80D" w:rsidR="00155835" w:rsidRDefault="00155835" w:rsidP="00155835">
                  <w:pPr>
                    <w:rPr>
                      <w:rFonts w:ascii="Arial" w:hAnsi="Arial" w:cs="Arial"/>
                    </w:rPr>
                  </w:pPr>
                  <w:r>
                    <w:rPr>
                      <w:rFonts w:ascii="Arial" w:hAnsi="Arial" w:cs="Arial"/>
                    </w:rPr>
                    <w:t>Lanc</w:t>
                  </w:r>
                  <w:r w:rsidR="00191AE2">
                    <w:rPr>
                      <w:rFonts w:ascii="Arial" w:hAnsi="Arial" w:cs="Arial"/>
                    </w:rPr>
                    <w:t>a</w:t>
                  </w:r>
                  <w:r>
                    <w:rPr>
                      <w:rFonts w:ascii="Arial" w:hAnsi="Arial" w:cs="Arial"/>
                    </w:rPr>
                    <w:t>s</w:t>
                  </w:r>
                  <w:r w:rsidR="00191AE2">
                    <w:rPr>
                      <w:rFonts w:ascii="Arial" w:hAnsi="Arial" w:cs="Arial"/>
                    </w:rPr>
                    <w:t>hire</w:t>
                  </w:r>
                </w:p>
              </w:tc>
              <w:tc>
                <w:tcPr>
                  <w:tcW w:w="988" w:type="dxa"/>
                </w:tcPr>
                <w:p w14:paraId="72E29E6D" w14:textId="2410D3F6" w:rsidR="00155835" w:rsidRDefault="00155835" w:rsidP="008051D2">
                  <w:pPr>
                    <w:jc w:val="center"/>
                    <w:rPr>
                      <w:rFonts w:ascii="Arial" w:hAnsi="Arial" w:cs="Arial"/>
                    </w:rPr>
                  </w:pPr>
                  <w:r>
                    <w:rPr>
                      <w:rFonts w:ascii="Arial" w:hAnsi="Arial" w:cs="Arial"/>
                    </w:rPr>
                    <w:t>8%</w:t>
                  </w:r>
                </w:p>
              </w:tc>
              <w:tc>
                <w:tcPr>
                  <w:tcW w:w="988" w:type="dxa"/>
                </w:tcPr>
                <w:p w14:paraId="72E29E6E" w14:textId="40ADB5D3" w:rsidR="00155835" w:rsidRDefault="00155835" w:rsidP="008051D2">
                  <w:pPr>
                    <w:jc w:val="center"/>
                    <w:rPr>
                      <w:rFonts w:ascii="Arial" w:hAnsi="Arial" w:cs="Arial"/>
                    </w:rPr>
                  </w:pPr>
                  <w:r>
                    <w:rPr>
                      <w:rFonts w:ascii="Arial" w:hAnsi="Arial" w:cs="Arial"/>
                    </w:rPr>
                    <w:t>39%</w:t>
                  </w:r>
                </w:p>
              </w:tc>
              <w:tc>
                <w:tcPr>
                  <w:tcW w:w="988" w:type="dxa"/>
                </w:tcPr>
                <w:p w14:paraId="72E29E6F" w14:textId="3DBB7B79" w:rsidR="00155835" w:rsidRDefault="00155835" w:rsidP="008051D2">
                  <w:pPr>
                    <w:jc w:val="center"/>
                    <w:rPr>
                      <w:rFonts w:ascii="Arial" w:hAnsi="Arial" w:cs="Arial"/>
                    </w:rPr>
                  </w:pPr>
                  <w:r>
                    <w:rPr>
                      <w:rFonts w:ascii="Arial" w:hAnsi="Arial" w:cs="Arial"/>
                    </w:rPr>
                    <w:t>61%</w:t>
                  </w:r>
                </w:p>
              </w:tc>
              <w:tc>
                <w:tcPr>
                  <w:tcW w:w="988" w:type="dxa"/>
                </w:tcPr>
                <w:p w14:paraId="72E29E70" w14:textId="4E50C55C" w:rsidR="00155835" w:rsidRDefault="00155835" w:rsidP="008051D2">
                  <w:pPr>
                    <w:jc w:val="center"/>
                    <w:rPr>
                      <w:rFonts w:ascii="Arial" w:hAnsi="Arial" w:cs="Arial"/>
                    </w:rPr>
                  </w:pPr>
                  <w:r>
                    <w:rPr>
                      <w:rFonts w:ascii="Arial" w:hAnsi="Arial" w:cs="Arial"/>
                    </w:rPr>
                    <w:t>98%</w:t>
                  </w:r>
                </w:p>
              </w:tc>
            </w:tr>
          </w:tbl>
          <w:p w14:paraId="72E29E7A" w14:textId="77777777" w:rsidR="00D86C38" w:rsidRDefault="00D86C38" w:rsidP="00BD46C5">
            <w:pPr>
              <w:rPr>
                <w:rFonts w:ascii="Arial" w:hAnsi="Arial" w:cs="Arial"/>
              </w:rPr>
            </w:pPr>
          </w:p>
          <w:p w14:paraId="72E29E7B" w14:textId="77777777" w:rsidR="008F4092" w:rsidRDefault="00331F04" w:rsidP="00BD46C5">
            <w:pPr>
              <w:rPr>
                <w:rFonts w:ascii="Arial" w:hAnsi="Arial" w:cs="Arial"/>
              </w:rPr>
            </w:pPr>
            <w:r>
              <w:rPr>
                <w:rFonts w:ascii="Arial" w:hAnsi="Arial" w:cs="Arial"/>
                <w:b/>
              </w:rPr>
              <w:t>Biology</w:t>
            </w:r>
          </w:p>
          <w:tbl>
            <w:tblPr>
              <w:tblStyle w:val="TableGrid"/>
              <w:tblW w:w="0" w:type="auto"/>
              <w:tblLook w:val="04A0" w:firstRow="1" w:lastRow="0" w:firstColumn="1" w:lastColumn="0" w:noHBand="0" w:noVBand="1"/>
            </w:tblPr>
            <w:tblGrid>
              <w:gridCol w:w="1281"/>
              <w:gridCol w:w="3557"/>
              <w:gridCol w:w="988"/>
              <w:gridCol w:w="988"/>
              <w:gridCol w:w="988"/>
              <w:gridCol w:w="988"/>
            </w:tblGrid>
            <w:tr w:rsidR="00155835" w14:paraId="72E29E83" w14:textId="77777777" w:rsidTr="00BA3FE3">
              <w:tc>
                <w:tcPr>
                  <w:tcW w:w="1281" w:type="dxa"/>
                </w:tcPr>
                <w:p w14:paraId="72E29E7C" w14:textId="77777777" w:rsidR="00155835" w:rsidRDefault="00155835" w:rsidP="008F4092">
                  <w:pPr>
                    <w:jc w:val="center"/>
                    <w:rPr>
                      <w:rFonts w:ascii="Arial" w:hAnsi="Arial" w:cs="Arial"/>
                    </w:rPr>
                  </w:pPr>
                  <w:r>
                    <w:rPr>
                      <w:rFonts w:ascii="Arial" w:hAnsi="Arial" w:cs="Arial"/>
                    </w:rPr>
                    <w:t>Number of candidates</w:t>
                  </w:r>
                </w:p>
              </w:tc>
              <w:tc>
                <w:tcPr>
                  <w:tcW w:w="3557" w:type="dxa"/>
                </w:tcPr>
                <w:p w14:paraId="72E29E7E" w14:textId="165D75CA" w:rsidR="00155835" w:rsidRPr="005C6DC2" w:rsidRDefault="00155835" w:rsidP="008F4092">
                  <w:pPr>
                    <w:jc w:val="center"/>
                    <w:rPr>
                      <w:rFonts w:ascii="Arial" w:hAnsi="Arial" w:cs="Arial"/>
                      <w:sz w:val="20"/>
                      <w:szCs w:val="20"/>
                    </w:rPr>
                  </w:pPr>
                </w:p>
              </w:tc>
              <w:tc>
                <w:tcPr>
                  <w:tcW w:w="988" w:type="dxa"/>
                </w:tcPr>
                <w:p w14:paraId="72E29E7F" w14:textId="77777777" w:rsidR="00155835" w:rsidRPr="005C6DC2" w:rsidRDefault="00155835" w:rsidP="008F4092">
                  <w:pPr>
                    <w:jc w:val="center"/>
                    <w:rPr>
                      <w:rFonts w:ascii="Arial" w:hAnsi="Arial" w:cs="Arial"/>
                      <w:sz w:val="20"/>
                      <w:szCs w:val="20"/>
                    </w:rPr>
                  </w:pPr>
                  <w:r w:rsidRPr="005C6DC2">
                    <w:rPr>
                      <w:rFonts w:ascii="Arial" w:hAnsi="Arial" w:cs="Arial"/>
                      <w:sz w:val="20"/>
                      <w:szCs w:val="20"/>
                    </w:rPr>
                    <w:t>% 7-7 &amp; above</w:t>
                  </w:r>
                </w:p>
              </w:tc>
              <w:tc>
                <w:tcPr>
                  <w:tcW w:w="988" w:type="dxa"/>
                </w:tcPr>
                <w:p w14:paraId="72E29E80" w14:textId="77777777" w:rsidR="00155835" w:rsidRPr="005C6DC2" w:rsidRDefault="00155835" w:rsidP="008F4092">
                  <w:pPr>
                    <w:jc w:val="center"/>
                    <w:rPr>
                      <w:rFonts w:ascii="Arial" w:hAnsi="Arial" w:cs="Arial"/>
                      <w:sz w:val="20"/>
                      <w:szCs w:val="20"/>
                    </w:rPr>
                  </w:pPr>
                  <w:r w:rsidRPr="005C6DC2">
                    <w:rPr>
                      <w:rFonts w:ascii="Arial" w:hAnsi="Arial" w:cs="Arial"/>
                      <w:sz w:val="20"/>
                      <w:szCs w:val="20"/>
                    </w:rPr>
                    <w:t>% 5-5 &amp; above</w:t>
                  </w:r>
                </w:p>
              </w:tc>
              <w:tc>
                <w:tcPr>
                  <w:tcW w:w="988" w:type="dxa"/>
                </w:tcPr>
                <w:p w14:paraId="72E29E81" w14:textId="77777777" w:rsidR="00155835" w:rsidRPr="005C6DC2" w:rsidRDefault="00155835" w:rsidP="008F4092">
                  <w:pPr>
                    <w:jc w:val="center"/>
                    <w:rPr>
                      <w:rFonts w:ascii="Arial" w:hAnsi="Arial" w:cs="Arial"/>
                      <w:sz w:val="20"/>
                      <w:szCs w:val="20"/>
                    </w:rPr>
                  </w:pPr>
                  <w:r w:rsidRPr="005C6DC2">
                    <w:rPr>
                      <w:rFonts w:ascii="Arial" w:hAnsi="Arial" w:cs="Arial"/>
                      <w:sz w:val="20"/>
                      <w:szCs w:val="20"/>
                    </w:rPr>
                    <w:t>% 4-4 &amp; above</w:t>
                  </w:r>
                </w:p>
              </w:tc>
              <w:tc>
                <w:tcPr>
                  <w:tcW w:w="988" w:type="dxa"/>
                </w:tcPr>
                <w:p w14:paraId="72E29E82" w14:textId="77777777" w:rsidR="00155835" w:rsidRPr="005C6DC2" w:rsidRDefault="00155835" w:rsidP="008F4092">
                  <w:pPr>
                    <w:jc w:val="center"/>
                    <w:rPr>
                      <w:rFonts w:ascii="Arial" w:hAnsi="Arial" w:cs="Arial"/>
                      <w:sz w:val="20"/>
                      <w:szCs w:val="20"/>
                    </w:rPr>
                  </w:pPr>
                  <w:r w:rsidRPr="005C6DC2">
                    <w:rPr>
                      <w:rFonts w:ascii="Arial" w:hAnsi="Arial" w:cs="Arial"/>
                      <w:sz w:val="20"/>
                      <w:szCs w:val="20"/>
                    </w:rPr>
                    <w:t>% 1-1 &amp; above</w:t>
                  </w:r>
                </w:p>
              </w:tc>
            </w:tr>
            <w:tr w:rsidR="00155835" w14:paraId="72E29E8B" w14:textId="77777777" w:rsidTr="006F1188">
              <w:tc>
                <w:tcPr>
                  <w:tcW w:w="1281" w:type="dxa"/>
                </w:tcPr>
                <w:p w14:paraId="72E29E84" w14:textId="53CB7481" w:rsidR="00155835" w:rsidRDefault="00155835" w:rsidP="008F4092">
                  <w:pPr>
                    <w:jc w:val="center"/>
                    <w:rPr>
                      <w:rFonts w:ascii="Arial" w:hAnsi="Arial" w:cs="Arial"/>
                    </w:rPr>
                  </w:pPr>
                  <w:r>
                    <w:rPr>
                      <w:rFonts w:ascii="Arial" w:hAnsi="Arial" w:cs="Arial"/>
                    </w:rPr>
                    <w:t>3,371</w:t>
                  </w:r>
                </w:p>
              </w:tc>
              <w:tc>
                <w:tcPr>
                  <w:tcW w:w="3557" w:type="dxa"/>
                </w:tcPr>
                <w:p w14:paraId="72E29E86" w14:textId="6030B047" w:rsidR="00155835" w:rsidRDefault="00155835" w:rsidP="00155835">
                  <w:pPr>
                    <w:rPr>
                      <w:rFonts w:ascii="Arial" w:hAnsi="Arial" w:cs="Arial"/>
                    </w:rPr>
                  </w:pPr>
                  <w:r>
                    <w:rPr>
                      <w:rFonts w:ascii="Arial" w:hAnsi="Arial" w:cs="Arial"/>
                    </w:rPr>
                    <w:t>Lanc</w:t>
                  </w:r>
                  <w:r w:rsidR="00191AE2">
                    <w:rPr>
                      <w:rFonts w:ascii="Arial" w:hAnsi="Arial" w:cs="Arial"/>
                    </w:rPr>
                    <w:t>a</w:t>
                  </w:r>
                  <w:r>
                    <w:rPr>
                      <w:rFonts w:ascii="Arial" w:hAnsi="Arial" w:cs="Arial"/>
                    </w:rPr>
                    <w:t>s</w:t>
                  </w:r>
                  <w:r w:rsidR="00191AE2">
                    <w:rPr>
                      <w:rFonts w:ascii="Arial" w:hAnsi="Arial" w:cs="Arial"/>
                    </w:rPr>
                    <w:t>hire</w:t>
                  </w:r>
                </w:p>
              </w:tc>
              <w:tc>
                <w:tcPr>
                  <w:tcW w:w="988" w:type="dxa"/>
                </w:tcPr>
                <w:p w14:paraId="72E29E87" w14:textId="2D3BB19E" w:rsidR="00155835" w:rsidRDefault="00155835" w:rsidP="008F4092">
                  <w:pPr>
                    <w:jc w:val="center"/>
                    <w:rPr>
                      <w:rFonts w:ascii="Arial" w:hAnsi="Arial" w:cs="Arial"/>
                    </w:rPr>
                  </w:pPr>
                  <w:r>
                    <w:rPr>
                      <w:rFonts w:ascii="Arial" w:hAnsi="Arial" w:cs="Arial"/>
                    </w:rPr>
                    <w:t>42%</w:t>
                  </w:r>
                </w:p>
              </w:tc>
              <w:tc>
                <w:tcPr>
                  <w:tcW w:w="988" w:type="dxa"/>
                </w:tcPr>
                <w:p w14:paraId="72E29E88" w14:textId="63D223BD" w:rsidR="00155835" w:rsidRDefault="00155835" w:rsidP="008F4092">
                  <w:pPr>
                    <w:jc w:val="center"/>
                    <w:rPr>
                      <w:rFonts w:ascii="Arial" w:hAnsi="Arial" w:cs="Arial"/>
                    </w:rPr>
                  </w:pPr>
                  <w:r>
                    <w:rPr>
                      <w:rFonts w:ascii="Arial" w:hAnsi="Arial" w:cs="Arial"/>
                    </w:rPr>
                    <w:t>83%</w:t>
                  </w:r>
                </w:p>
              </w:tc>
              <w:tc>
                <w:tcPr>
                  <w:tcW w:w="988" w:type="dxa"/>
                </w:tcPr>
                <w:p w14:paraId="72E29E89" w14:textId="0E2C4143" w:rsidR="00155835" w:rsidRDefault="00155835" w:rsidP="008F4092">
                  <w:pPr>
                    <w:jc w:val="center"/>
                    <w:rPr>
                      <w:rFonts w:ascii="Arial" w:hAnsi="Arial" w:cs="Arial"/>
                    </w:rPr>
                  </w:pPr>
                  <w:r>
                    <w:rPr>
                      <w:rFonts w:ascii="Arial" w:hAnsi="Arial" w:cs="Arial"/>
                    </w:rPr>
                    <w:t>92%</w:t>
                  </w:r>
                </w:p>
              </w:tc>
              <w:tc>
                <w:tcPr>
                  <w:tcW w:w="988" w:type="dxa"/>
                </w:tcPr>
                <w:p w14:paraId="72E29E8A" w14:textId="2AA4660D" w:rsidR="00155835" w:rsidRDefault="00155835" w:rsidP="008F4092">
                  <w:pPr>
                    <w:jc w:val="center"/>
                    <w:rPr>
                      <w:rFonts w:ascii="Arial" w:hAnsi="Arial" w:cs="Arial"/>
                    </w:rPr>
                  </w:pPr>
                  <w:r>
                    <w:rPr>
                      <w:rFonts w:ascii="Arial" w:hAnsi="Arial" w:cs="Arial"/>
                    </w:rPr>
                    <w:t>100%</w:t>
                  </w:r>
                </w:p>
              </w:tc>
            </w:tr>
          </w:tbl>
          <w:p w14:paraId="72E29E94" w14:textId="77777777" w:rsidR="008F4092" w:rsidRDefault="008F4092" w:rsidP="00BD46C5">
            <w:pPr>
              <w:rPr>
                <w:rFonts w:ascii="Arial" w:hAnsi="Arial" w:cs="Arial"/>
              </w:rPr>
            </w:pPr>
          </w:p>
          <w:p w14:paraId="72E29E95" w14:textId="77777777" w:rsidR="00331F04" w:rsidRDefault="00490959" w:rsidP="00BD46C5">
            <w:pPr>
              <w:rPr>
                <w:rFonts w:ascii="Arial" w:hAnsi="Arial" w:cs="Arial"/>
              </w:rPr>
            </w:pPr>
            <w:r w:rsidRPr="00594EE9">
              <w:rPr>
                <w:rFonts w:ascii="Arial" w:hAnsi="Arial" w:cs="Arial"/>
                <w:b/>
              </w:rPr>
              <w:t>Chemistry</w:t>
            </w:r>
          </w:p>
          <w:tbl>
            <w:tblPr>
              <w:tblStyle w:val="TableGrid"/>
              <w:tblW w:w="0" w:type="auto"/>
              <w:tblLook w:val="04A0" w:firstRow="1" w:lastRow="0" w:firstColumn="1" w:lastColumn="0" w:noHBand="0" w:noVBand="1"/>
            </w:tblPr>
            <w:tblGrid>
              <w:gridCol w:w="1281"/>
              <w:gridCol w:w="3557"/>
              <w:gridCol w:w="988"/>
              <w:gridCol w:w="988"/>
              <w:gridCol w:w="988"/>
              <w:gridCol w:w="988"/>
            </w:tblGrid>
            <w:tr w:rsidR="00155835" w14:paraId="72E29E9D" w14:textId="77777777" w:rsidTr="004A255C">
              <w:tc>
                <w:tcPr>
                  <w:tcW w:w="1281" w:type="dxa"/>
                </w:tcPr>
                <w:p w14:paraId="72E29E96" w14:textId="77777777" w:rsidR="00155835" w:rsidRDefault="00155835" w:rsidP="00594EE9">
                  <w:pPr>
                    <w:jc w:val="center"/>
                    <w:rPr>
                      <w:rFonts w:ascii="Arial" w:hAnsi="Arial" w:cs="Arial"/>
                    </w:rPr>
                  </w:pPr>
                  <w:r>
                    <w:rPr>
                      <w:rFonts w:ascii="Arial" w:hAnsi="Arial" w:cs="Arial"/>
                    </w:rPr>
                    <w:t>Number of candidates</w:t>
                  </w:r>
                </w:p>
              </w:tc>
              <w:tc>
                <w:tcPr>
                  <w:tcW w:w="3557" w:type="dxa"/>
                </w:tcPr>
                <w:p w14:paraId="72E29E98" w14:textId="1A7C8028" w:rsidR="00155835" w:rsidRPr="005C6DC2" w:rsidRDefault="00155835" w:rsidP="00594EE9">
                  <w:pPr>
                    <w:jc w:val="center"/>
                    <w:rPr>
                      <w:rFonts w:ascii="Arial" w:hAnsi="Arial" w:cs="Arial"/>
                      <w:sz w:val="20"/>
                      <w:szCs w:val="20"/>
                    </w:rPr>
                  </w:pPr>
                </w:p>
              </w:tc>
              <w:tc>
                <w:tcPr>
                  <w:tcW w:w="988" w:type="dxa"/>
                </w:tcPr>
                <w:p w14:paraId="72E29E99" w14:textId="77777777" w:rsidR="00155835" w:rsidRPr="005C6DC2" w:rsidRDefault="00155835" w:rsidP="00594EE9">
                  <w:pPr>
                    <w:jc w:val="center"/>
                    <w:rPr>
                      <w:rFonts w:ascii="Arial" w:hAnsi="Arial" w:cs="Arial"/>
                      <w:sz w:val="20"/>
                      <w:szCs w:val="20"/>
                    </w:rPr>
                  </w:pPr>
                  <w:r w:rsidRPr="005C6DC2">
                    <w:rPr>
                      <w:rFonts w:ascii="Arial" w:hAnsi="Arial" w:cs="Arial"/>
                      <w:sz w:val="20"/>
                      <w:szCs w:val="20"/>
                    </w:rPr>
                    <w:t>% 7-7 &amp; above</w:t>
                  </w:r>
                </w:p>
              </w:tc>
              <w:tc>
                <w:tcPr>
                  <w:tcW w:w="988" w:type="dxa"/>
                </w:tcPr>
                <w:p w14:paraId="72E29E9A" w14:textId="77777777" w:rsidR="00155835" w:rsidRPr="005C6DC2" w:rsidRDefault="00155835" w:rsidP="00594EE9">
                  <w:pPr>
                    <w:jc w:val="center"/>
                    <w:rPr>
                      <w:rFonts w:ascii="Arial" w:hAnsi="Arial" w:cs="Arial"/>
                      <w:sz w:val="20"/>
                      <w:szCs w:val="20"/>
                    </w:rPr>
                  </w:pPr>
                  <w:r w:rsidRPr="005C6DC2">
                    <w:rPr>
                      <w:rFonts w:ascii="Arial" w:hAnsi="Arial" w:cs="Arial"/>
                      <w:sz w:val="20"/>
                      <w:szCs w:val="20"/>
                    </w:rPr>
                    <w:t>% 5-5 &amp; above</w:t>
                  </w:r>
                </w:p>
              </w:tc>
              <w:tc>
                <w:tcPr>
                  <w:tcW w:w="988" w:type="dxa"/>
                </w:tcPr>
                <w:p w14:paraId="72E29E9B" w14:textId="77777777" w:rsidR="00155835" w:rsidRPr="005C6DC2" w:rsidRDefault="00155835" w:rsidP="00594EE9">
                  <w:pPr>
                    <w:jc w:val="center"/>
                    <w:rPr>
                      <w:rFonts w:ascii="Arial" w:hAnsi="Arial" w:cs="Arial"/>
                      <w:sz w:val="20"/>
                      <w:szCs w:val="20"/>
                    </w:rPr>
                  </w:pPr>
                  <w:r w:rsidRPr="005C6DC2">
                    <w:rPr>
                      <w:rFonts w:ascii="Arial" w:hAnsi="Arial" w:cs="Arial"/>
                      <w:sz w:val="20"/>
                      <w:szCs w:val="20"/>
                    </w:rPr>
                    <w:t>% 4-4 &amp; above</w:t>
                  </w:r>
                </w:p>
              </w:tc>
              <w:tc>
                <w:tcPr>
                  <w:tcW w:w="988" w:type="dxa"/>
                </w:tcPr>
                <w:p w14:paraId="72E29E9C" w14:textId="77777777" w:rsidR="00155835" w:rsidRPr="005C6DC2" w:rsidRDefault="00155835" w:rsidP="00594EE9">
                  <w:pPr>
                    <w:jc w:val="center"/>
                    <w:rPr>
                      <w:rFonts w:ascii="Arial" w:hAnsi="Arial" w:cs="Arial"/>
                      <w:sz w:val="20"/>
                      <w:szCs w:val="20"/>
                    </w:rPr>
                  </w:pPr>
                  <w:r w:rsidRPr="005C6DC2">
                    <w:rPr>
                      <w:rFonts w:ascii="Arial" w:hAnsi="Arial" w:cs="Arial"/>
                      <w:sz w:val="20"/>
                      <w:szCs w:val="20"/>
                    </w:rPr>
                    <w:t>% 1-1 &amp; above</w:t>
                  </w:r>
                </w:p>
              </w:tc>
            </w:tr>
            <w:tr w:rsidR="00155835" w14:paraId="72E29EA5" w14:textId="77777777" w:rsidTr="008D7165">
              <w:tc>
                <w:tcPr>
                  <w:tcW w:w="1281" w:type="dxa"/>
                </w:tcPr>
                <w:p w14:paraId="72E29E9E" w14:textId="47A45196" w:rsidR="00155835" w:rsidRDefault="0047488E" w:rsidP="000C6B2D">
                  <w:pPr>
                    <w:jc w:val="center"/>
                    <w:rPr>
                      <w:rFonts w:ascii="Arial" w:hAnsi="Arial" w:cs="Arial"/>
                    </w:rPr>
                  </w:pPr>
                  <w:r>
                    <w:rPr>
                      <w:rFonts w:ascii="Arial" w:hAnsi="Arial" w:cs="Arial"/>
                    </w:rPr>
                    <w:t>3,334</w:t>
                  </w:r>
                </w:p>
              </w:tc>
              <w:tc>
                <w:tcPr>
                  <w:tcW w:w="3557" w:type="dxa"/>
                </w:tcPr>
                <w:p w14:paraId="72E29EA0" w14:textId="2BEFE2C6" w:rsidR="00155835" w:rsidRDefault="00155835" w:rsidP="00155835">
                  <w:pPr>
                    <w:rPr>
                      <w:rFonts w:ascii="Arial" w:hAnsi="Arial" w:cs="Arial"/>
                    </w:rPr>
                  </w:pPr>
                  <w:r>
                    <w:rPr>
                      <w:rFonts w:ascii="Arial" w:hAnsi="Arial" w:cs="Arial"/>
                    </w:rPr>
                    <w:t>Lanc</w:t>
                  </w:r>
                  <w:r w:rsidR="00191AE2">
                    <w:rPr>
                      <w:rFonts w:ascii="Arial" w:hAnsi="Arial" w:cs="Arial"/>
                    </w:rPr>
                    <w:t>a</w:t>
                  </w:r>
                  <w:r>
                    <w:rPr>
                      <w:rFonts w:ascii="Arial" w:hAnsi="Arial" w:cs="Arial"/>
                    </w:rPr>
                    <w:t>s</w:t>
                  </w:r>
                  <w:r w:rsidR="00191AE2">
                    <w:rPr>
                      <w:rFonts w:ascii="Arial" w:hAnsi="Arial" w:cs="Arial"/>
                    </w:rPr>
                    <w:t>hire</w:t>
                  </w:r>
                </w:p>
              </w:tc>
              <w:tc>
                <w:tcPr>
                  <w:tcW w:w="988" w:type="dxa"/>
                </w:tcPr>
                <w:p w14:paraId="72E29EA1" w14:textId="0551B231" w:rsidR="00155835" w:rsidRDefault="00155835" w:rsidP="00594EE9">
                  <w:pPr>
                    <w:jc w:val="center"/>
                    <w:rPr>
                      <w:rFonts w:ascii="Arial" w:hAnsi="Arial" w:cs="Arial"/>
                    </w:rPr>
                  </w:pPr>
                  <w:r>
                    <w:rPr>
                      <w:rFonts w:ascii="Arial" w:hAnsi="Arial" w:cs="Arial"/>
                    </w:rPr>
                    <w:t>43%</w:t>
                  </w:r>
                </w:p>
              </w:tc>
              <w:tc>
                <w:tcPr>
                  <w:tcW w:w="988" w:type="dxa"/>
                </w:tcPr>
                <w:p w14:paraId="72E29EA2" w14:textId="3F8279F5" w:rsidR="00155835" w:rsidRDefault="00155835" w:rsidP="00594EE9">
                  <w:pPr>
                    <w:jc w:val="center"/>
                    <w:rPr>
                      <w:rFonts w:ascii="Arial" w:hAnsi="Arial" w:cs="Arial"/>
                    </w:rPr>
                  </w:pPr>
                  <w:r>
                    <w:rPr>
                      <w:rFonts w:ascii="Arial" w:hAnsi="Arial" w:cs="Arial"/>
                    </w:rPr>
                    <w:t>79%</w:t>
                  </w:r>
                </w:p>
              </w:tc>
              <w:tc>
                <w:tcPr>
                  <w:tcW w:w="988" w:type="dxa"/>
                </w:tcPr>
                <w:p w14:paraId="72E29EA3" w14:textId="1AA16D07" w:rsidR="00155835" w:rsidRDefault="00155835" w:rsidP="00594EE9">
                  <w:pPr>
                    <w:jc w:val="center"/>
                    <w:rPr>
                      <w:rFonts w:ascii="Arial" w:hAnsi="Arial" w:cs="Arial"/>
                    </w:rPr>
                  </w:pPr>
                  <w:r>
                    <w:rPr>
                      <w:rFonts w:ascii="Arial" w:hAnsi="Arial" w:cs="Arial"/>
                    </w:rPr>
                    <w:t>91</w:t>
                  </w:r>
                  <w:r w:rsidR="002858E5">
                    <w:rPr>
                      <w:rFonts w:ascii="Arial" w:hAnsi="Arial" w:cs="Arial"/>
                    </w:rPr>
                    <w:t>%</w:t>
                  </w:r>
                </w:p>
              </w:tc>
              <w:tc>
                <w:tcPr>
                  <w:tcW w:w="988" w:type="dxa"/>
                </w:tcPr>
                <w:p w14:paraId="72E29EA4" w14:textId="4ED4D574" w:rsidR="00155835" w:rsidRDefault="002858E5" w:rsidP="00594EE9">
                  <w:pPr>
                    <w:jc w:val="center"/>
                    <w:rPr>
                      <w:rFonts w:ascii="Arial" w:hAnsi="Arial" w:cs="Arial"/>
                    </w:rPr>
                  </w:pPr>
                  <w:r>
                    <w:rPr>
                      <w:rFonts w:ascii="Arial" w:hAnsi="Arial" w:cs="Arial"/>
                    </w:rPr>
                    <w:t>100%</w:t>
                  </w:r>
                </w:p>
              </w:tc>
            </w:tr>
          </w:tbl>
          <w:p w14:paraId="72E29EAE" w14:textId="77777777" w:rsidR="00594EE9" w:rsidRDefault="00594EE9" w:rsidP="00BD46C5">
            <w:pPr>
              <w:rPr>
                <w:rFonts w:ascii="Arial" w:hAnsi="Arial" w:cs="Arial"/>
              </w:rPr>
            </w:pPr>
          </w:p>
          <w:p w14:paraId="72E29EAF" w14:textId="77777777" w:rsidR="00331F04" w:rsidRDefault="00CE615B" w:rsidP="00BD46C5">
            <w:pPr>
              <w:rPr>
                <w:rFonts w:ascii="Arial" w:hAnsi="Arial" w:cs="Arial"/>
              </w:rPr>
            </w:pPr>
            <w:r w:rsidRPr="00CE615B">
              <w:rPr>
                <w:rFonts w:ascii="Arial" w:hAnsi="Arial" w:cs="Arial"/>
                <w:b/>
              </w:rPr>
              <w:t>Physics</w:t>
            </w:r>
          </w:p>
          <w:tbl>
            <w:tblPr>
              <w:tblStyle w:val="TableGrid"/>
              <w:tblW w:w="0" w:type="auto"/>
              <w:tblLook w:val="04A0" w:firstRow="1" w:lastRow="0" w:firstColumn="1" w:lastColumn="0" w:noHBand="0" w:noVBand="1"/>
            </w:tblPr>
            <w:tblGrid>
              <w:gridCol w:w="1281"/>
              <w:gridCol w:w="3557"/>
              <w:gridCol w:w="988"/>
              <w:gridCol w:w="988"/>
              <w:gridCol w:w="988"/>
              <w:gridCol w:w="988"/>
            </w:tblGrid>
            <w:tr w:rsidR="00155835" w14:paraId="72E29EB7" w14:textId="77777777" w:rsidTr="00413D2B">
              <w:tc>
                <w:tcPr>
                  <w:tcW w:w="1281" w:type="dxa"/>
                </w:tcPr>
                <w:p w14:paraId="72E29EB0" w14:textId="77777777" w:rsidR="00155835" w:rsidRDefault="00155835" w:rsidP="00CE615B">
                  <w:pPr>
                    <w:jc w:val="center"/>
                    <w:rPr>
                      <w:rFonts w:ascii="Arial" w:hAnsi="Arial" w:cs="Arial"/>
                    </w:rPr>
                  </w:pPr>
                  <w:r>
                    <w:rPr>
                      <w:rFonts w:ascii="Arial" w:hAnsi="Arial" w:cs="Arial"/>
                    </w:rPr>
                    <w:t>Number of candidates</w:t>
                  </w:r>
                </w:p>
              </w:tc>
              <w:tc>
                <w:tcPr>
                  <w:tcW w:w="3557" w:type="dxa"/>
                </w:tcPr>
                <w:p w14:paraId="72E29EB2" w14:textId="354D33BB" w:rsidR="00155835" w:rsidRPr="005C6DC2" w:rsidRDefault="00155835" w:rsidP="00CE615B">
                  <w:pPr>
                    <w:jc w:val="center"/>
                    <w:rPr>
                      <w:rFonts w:ascii="Arial" w:hAnsi="Arial" w:cs="Arial"/>
                      <w:sz w:val="20"/>
                      <w:szCs w:val="20"/>
                    </w:rPr>
                  </w:pPr>
                </w:p>
              </w:tc>
              <w:tc>
                <w:tcPr>
                  <w:tcW w:w="988" w:type="dxa"/>
                </w:tcPr>
                <w:p w14:paraId="72E29EB3" w14:textId="77777777" w:rsidR="00155835" w:rsidRPr="005C6DC2" w:rsidRDefault="00155835" w:rsidP="00CE615B">
                  <w:pPr>
                    <w:jc w:val="center"/>
                    <w:rPr>
                      <w:rFonts w:ascii="Arial" w:hAnsi="Arial" w:cs="Arial"/>
                      <w:sz w:val="20"/>
                      <w:szCs w:val="20"/>
                    </w:rPr>
                  </w:pPr>
                  <w:r w:rsidRPr="005C6DC2">
                    <w:rPr>
                      <w:rFonts w:ascii="Arial" w:hAnsi="Arial" w:cs="Arial"/>
                      <w:sz w:val="20"/>
                      <w:szCs w:val="20"/>
                    </w:rPr>
                    <w:t>% 7-7 &amp; above</w:t>
                  </w:r>
                </w:p>
              </w:tc>
              <w:tc>
                <w:tcPr>
                  <w:tcW w:w="988" w:type="dxa"/>
                </w:tcPr>
                <w:p w14:paraId="72E29EB4" w14:textId="77777777" w:rsidR="00155835" w:rsidRPr="005C6DC2" w:rsidRDefault="00155835" w:rsidP="00CE615B">
                  <w:pPr>
                    <w:jc w:val="center"/>
                    <w:rPr>
                      <w:rFonts w:ascii="Arial" w:hAnsi="Arial" w:cs="Arial"/>
                      <w:sz w:val="20"/>
                      <w:szCs w:val="20"/>
                    </w:rPr>
                  </w:pPr>
                  <w:r w:rsidRPr="005C6DC2">
                    <w:rPr>
                      <w:rFonts w:ascii="Arial" w:hAnsi="Arial" w:cs="Arial"/>
                      <w:sz w:val="20"/>
                      <w:szCs w:val="20"/>
                    </w:rPr>
                    <w:t>% 5-5 &amp; above</w:t>
                  </w:r>
                </w:p>
              </w:tc>
              <w:tc>
                <w:tcPr>
                  <w:tcW w:w="988" w:type="dxa"/>
                </w:tcPr>
                <w:p w14:paraId="72E29EB5" w14:textId="77777777" w:rsidR="00155835" w:rsidRPr="005C6DC2" w:rsidRDefault="00155835" w:rsidP="00CE615B">
                  <w:pPr>
                    <w:jc w:val="center"/>
                    <w:rPr>
                      <w:rFonts w:ascii="Arial" w:hAnsi="Arial" w:cs="Arial"/>
                      <w:sz w:val="20"/>
                      <w:szCs w:val="20"/>
                    </w:rPr>
                  </w:pPr>
                  <w:r w:rsidRPr="005C6DC2">
                    <w:rPr>
                      <w:rFonts w:ascii="Arial" w:hAnsi="Arial" w:cs="Arial"/>
                      <w:sz w:val="20"/>
                      <w:szCs w:val="20"/>
                    </w:rPr>
                    <w:t>% 4-4 &amp; above</w:t>
                  </w:r>
                </w:p>
              </w:tc>
              <w:tc>
                <w:tcPr>
                  <w:tcW w:w="988" w:type="dxa"/>
                </w:tcPr>
                <w:p w14:paraId="72E29EB6" w14:textId="77777777" w:rsidR="00155835" w:rsidRPr="005C6DC2" w:rsidRDefault="00155835" w:rsidP="00CE615B">
                  <w:pPr>
                    <w:jc w:val="center"/>
                    <w:rPr>
                      <w:rFonts w:ascii="Arial" w:hAnsi="Arial" w:cs="Arial"/>
                      <w:sz w:val="20"/>
                      <w:szCs w:val="20"/>
                    </w:rPr>
                  </w:pPr>
                  <w:r w:rsidRPr="005C6DC2">
                    <w:rPr>
                      <w:rFonts w:ascii="Arial" w:hAnsi="Arial" w:cs="Arial"/>
                      <w:sz w:val="20"/>
                      <w:szCs w:val="20"/>
                    </w:rPr>
                    <w:t>% 1-1 &amp; above</w:t>
                  </w:r>
                </w:p>
              </w:tc>
            </w:tr>
            <w:tr w:rsidR="00155835" w14:paraId="72E29EBF" w14:textId="77777777" w:rsidTr="009E6AD8">
              <w:tc>
                <w:tcPr>
                  <w:tcW w:w="1281" w:type="dxa"/>
                </w:tcPr>
                <w:p w14:paraId="72E29EB8" w14:textId="3E55AA1C" w:rsidR="00155835" w:rsidRDefault="0047488E" w:rsidP="000C6B2D">
                  <w:pPr>
                    <w:jc w:val="center"/>
                    <w:rPr>
                      <w:rFonts w:ascii="Arial" w:hAnsi="Arial" w:cs="Arial"/>
                    </w:rPr>
                  </w:pPr>
                  <w:r>
                    <w:rPr>
                      <w:rFonts w:ascii="Arial" w:hAnsi="Arial" w:cs="Arial"/>
                    </w:rPr>
                    <w:t>3,337</w:t>
                  </w:r>
                </w:p>
              </w:tc>
              <w:tc>
                <w:tcPr>
                  <w:tcW w:w="3557" w:type="dxa"/>
                </w:tcPr>
                <w:p w14:paraId="72E29EBA" w14:textId="5229FD9A" w:rsidR="00155835" w:rsidRDefault="00155835" w:rsidP="00155835">
                  <w:pPr>
                    <w:rPr>
                      <w:rFonts w:ascii="Arial" w:hAnsi="Arial" w:cs="Arial"/>
                    </w:rPr>
                  </w:pPr>
                  <w:r>
                    <w:rPr>
                      <w:rFonts w:ascii="Arial" w:hAnsi="Arial" w:cs="Arial"/>
                    </w:rPr>
                    <w:t>Lanc</w:t>
                  </w:r>
                  <w:r w:rsidR="00191AE2">
                    <w:rPr>
                      <w:rFonts w:ascii="Arial" w:hAnsi="Arial" w:cs="Arial"/>
                    </w:rPr>
                    <w:t>a</w:t>
                  </w:r>
                  <w:r>
                    <w:rPr>
                      <w:rFonts w:ascii="Arial" w:hAnsi="Arial" w:cs="Arial"/>
                    </w:rPr>
                    <w:t>s</w:t>
                  </w:r>
                  <w:r w:rsidR="00191AE2">
                    <w:rPr>
                      <w:rFonts w:ascii="Arial" w:hAnsi="Arial" w:cs="Arial"/>
                    </w:rPr>
                    <w:t>hire</w:t>
                  </w:r>
                </w:p>
              </w:tc>
              <w:tc>
                <w:tcPr>
                  <w:tcW w:w="988" w:type="dxa"/>
                </w:tcPr>
                <w:p w14:paraId="72E29EBB" w14:textId="328A8A4C" w:rsidR="00155835" w:rsidRDefault="002858E5" w:rsidP="00CE615B">
                  <w:pPr>
                    <w:jc w:val="center"/>
                    <w:rPr>
                      <w:rFonts w:ascii="Arial" w:hAnsi="Arial" w:cs="Arial"/>
                    </w:rPr>
                  </w:pPr>
                  <w:r>
                    <w:rPr>
                      <w:rFonts w:ascii="Arial" w:hAnsi="Arial" w:cs="Arial"/>
                    </w:rPr>
                    <w:t>43%</w:t>
                  </w:r>
                </w:p>
              </w:tc>
              <w:tc>
                <w:tcPr>
                  <w:tcW w:w="988" w:type="dxa"/>
                </w:tcPr>
                <w:p w14:paraId="72E29EBC" w14:textId="5A5FA2D6" w:rsidR="00155835" w:rsidRDefault="002858E5" w:rsidP="00CE615B">
                  <w:pPr>
                    <w:jc w:val="center"/>
                    <w:rPr>
                      <w:rFonts w:ascii="Arial" w:hAnsi="Arial" w:cs="Arial"/>
                    </w:rPr>
                  </w:pPr>
                  <w:r>
                    <w:rPr>
                      <w:rFonts w:ascii="Arial" w:hAnsi="Arial" w:cs="Arial"/>
                    </w:rPr>
                    <w:t>79%</w:t>
                  </w:r>
                </w:p>
              </w:tc>
              <w:tc>
                <w:tcPr>
                  <w:tcW w:w="988" w:type="dxa"/>
                </w:tcPr>
                <w:p w14:paraId="72E29EBD" w14:textId="41F18F30" w:rsidR="00155835" w:rsidRDefault="002858E5" w:rsidP="00CE615B">
                  <w:pPr>
                    <w:jc w:val="center"/>
                    <w:rPr>
                      <w:rFonts w:ascii="Arial" w:hAnsi="Arial" w:cs="Arial"/>
                    </w:rPr>
                  </w:pPr>
                  <w:r>
                    <w:rPr>
                      <w:rFonts w:ascii="Arial" w:hAnsi="Arial" w:cs="Arial"/>
                    </w:rPr>
                    <w:t>91%</w:t>
                  </w:r>
                </w:p>
              </w:tc>
              <w:tc>
                <w:tcPr>
                  <w:tcW w:w="988" w:type="dxa"/>
                </w:tcPr>
                <w:p w14:paraId="72E29EBE" w14:textId="3A087D20" w:rsidR="00155835" w:rsidRDefault="002858E5" w:rsidP="00CE615B">
                  <w:pPr>
                    <w:jc w:val="center"/>
                    <w:rPr>
                      <w:rFonts w:ascii="Arial" w:hAnsi="Arial" w:cs="Arial"/>
                    </w:rPr>
                  </w:pPr>
                  <w:r>
                    <w:rPr>
                      <w:rFonts w:ascii="Arial" w:hAnsi="Arial" w:cs="Arial"/>
                    </w:rPr>
                    <w:t>100%</w:t>
                  </w:r>
                </w:p>
              </w:tc>
            </w:tr>
          </w:tbl>
          <w:p w14:paraId="72E29EC8" w14:textId="1B5410C7" w:rsidR="006C0F14" w:rsidRDefault="006C0F14" w:rsidP="00BD46C5">
            <w:pPr>
              <w:rPr>
                <w:rFonts w:ascii="Arial" w:hAnsi="Arial" w:cs="Arial"/>
              </w:rPr>
            </w:pPr>
          </w:p>
          <w:p w14:paraId="031473F8" w14:textId="77777777" w:rsidR="005C6DC2" w:rsidRDefault="005C6DC2" w:rsidP="00BD46C5">
            <w:pPr>
              <w:rPr>
                <w:rFonts w:ascii="Arial" w:hAnsi="Arial" w:cs="Arial"/>
              </w:rPr>
            </w:pPr>
          </w:p>
          <w:p w14:paraId="72E29EC9" w14:textId="77777777" w:rsidR="00331F04" w:rsidRDefault="00331F04" w:rsidP="00BD46C5">
            <w:pPr>
              <w:rPr>
                <w:rFonts w:ascii="Arial" w:hAnsi="Arial" w:cs="Arial"/>
              </w:rPr>
            </w:pPr>
          </w:p>
          <w:p w14:paraId="72E29ECA" w14:textId="77777777" w:rsidR="00274612" w:rsidRDefault="00274612" w:rsidP="00BD46C5">
            <w:pPr>
              <w:rPr>
                <w:rFonts w:ascii="Arial" w:hAnsi="Arial" w:cs="Arial"/>
              </w:rPr>
            </w:pPr>
            <w:r>
              <w:rPr>
                <w:rFonts w:ascii="Arial" w:hAnsi="Arial" w:cs="Arial"/>
              </w:rPr>
              <w:lastRenderedPageBreak/>
              <w:t>Findings</w:t>
            </w:r>
          </w:p>
          <w:p w14:paraId="72E29ECB" w14:textId="5F30893D" w:rsidR="00274612" w:rsidRDefault="00274612" w:rsidP="009917A6">
            <w:pPr>
              <w:pStyle w:val="ListParagraph"/>
              <w:numPr>
                <w:ilvl w:val="0"/>
                <w:numId w:val="4"/>
              </w:numPr>
              <w:rPr>
                <w:rFonts w:ascii="Arial" w:hAnsi="Arial" w:cs="Arial"/>
              </w:rPr>
            </w:pPr>
            <w:r>
              <w:rPr>
                <w:rFonts w:ascii="Arial" w:hAnsi="Arial" w:cs="Arial"/>
              </w:rPr>
              <w:t xml:space="preserve">Outcomes for </w:t>
            </w:r>
            <w:r w:rsidR="009917A6">
              <w:rPr>
                <w:rFonts w:ascii="Arial" w:hAnsi="Arial" w:cs="Arial"/>
              </w:rPr>
              <w:t>c</w:t>
            </w:r>
            <w:r>
              <w:rPr>
                <w:rFonts w:ascii="Arial" w:hAnsi="Arial" w:cs="Arial"/>
              </w:rPr>
              <w:t xml:space="preserve">ombined </w:t>
            </w:r>
            <w:r w:rsidR="009917A6">
              <w:rPr>
                <w:rFonts w:ascii="Arial" w:hAnsi="Arial" w:cs="Arial"/>
              </w:rPr>
              <w:t>s</w:t>
            </w:r>
            <w:r>
              <w:rPr>
                <w:rFonts w:ascii="Arial" w:hAnsi="Arial" w:cs="Arial"/>
              </w:rPr>
              <w:t xml:space="preserve">cience </w:t>
            </w:r>
            <w:r w:rsidR="009917A6">
              <w:rPr>
                <w:rFonts w:ascii="Arial" w:hAnsi="Arial" w:cs="Arial"/>
              </w:rPr>
              <w:t>and separate science are shared to allow a county comparison</w:t>
            </w:r>
            <w:r w:rsidR="00C3673A">
              <w:rPr>
                <w:rFonts w:ascii="Arial" w:hAnsi="Arial" w:cs="Arial"/>
              </w:rPr>
              <w:t xml:space="preserve"> only</w:t>
            </w:r>
            <w:r w:rsidR="009917A6">
              <w:rPr>
                <w:rFonts w:ascii="Arial" w:hAnsi="Arial" w:cs="Arial"/>
              </w:rPr>
              <w:t>.</w:t>
            </w:r>
          </w:p>
          <w:p w14:paraId="4A93A258" w14:textId="77777777" w:rsidR="00274612" w:rsidRDefault="00C3673A" w:rsidP="00C3673A">
            <w:pPr>
              <w:pStyle w:val="ListParagraph"/>
              <w:numPr>
                <w:ilvl w:val="0"/>
                <w:numId w:val="4"/>
              </w:numPr>
              <w:rPr>
                <w:rFonts w:ascii="Arial" w:hAnsi="Arial" w:cs="Arial"/>
              </w:rPr>
            </w:pPr>
            <w:r>
              <w:rPr>
                <w:rFonts w:ascii="Arial" w:hAnsi="Arial" w:cs="Arial"/>
              </w:rPr>
              <w:t>2019 represents the last formal KS4 assessment data</w:t>
            </w:r>
            <w:r w:rsidR="005C6DC2">
              <w:rPr>
                <w:rFonts w:ascii="Arial" w:hAnsi="Arial" w:cs="Arial"/>
              </w:rPr>
              <w:t xml:space="preserve"> for most curriculum subjects</w:t>
            </w:r>
          </w:p>
          <w:p w14:paraId="72E29ECD" w14:textId="6758892E" w:rsidR="005C6DC2" w:rsidRPr="00274612" w:rsidRDefault="005C6DC2" w:rsidP="005C6DC2">
            <w:pPr>
              <w:pStyle w:val="ListParagraph"/>
              <w:rPr>
                <w:rFonts w:ascii="Arial" w:hAnsi="Arial" w:cs="Arial"/>
              </w:rPr>
            </w:pPr>
          </w:p>
        </w:tc>
      </w:tr>
    </w:tbl>
    <w:p w14:paraId="72E29ECF" w14:textId="77777777" w:rsidR="006361D1" w:rsidRPr="006A4398" w:rsidRDefault="006361D1">
      <w:pPr>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ED1" w14:textId="77777777" w:rsidTr="00475E16">
        <w:trPr>
          <w:trHeight w:val="454"/>
        </w:trPr>
        <w:tc>
          <w:tcPr>
            <w:tcW w:w="9242" w:type="dxa"/>
            <w:shd w:val="clear" w:color="auto" w:fill="D9D9D9" w:themeFill="background1" w:themeFillShade="D9"/>
            <w:vAlign w:val="center"/>
          </w:tcPr>
          <w:p w14:paraId="72E29ED0" w14:textId="77777777" w:rsidR="00BD46C5" w:rsidRPr="006A4398" w:rsidRDefault="00BD46C5" w:rsidP="00DE6E34">
            <w:pPr>
              <w:rPr>
                <w:rFonts w:ascii="Arial" w:hAnsi="Arial" w:cs="Arial"/>
                <w:b/>
                <w:i/>
                <w:color w:val="FF0000"/>
              </w:rPr>
            </w:pPr>
            <w:r w:rsidRPr="006A4398">
              <w:rPr>
                <w:rFonts w:ascii="Arial" w:hAnsi="Arial" w:cs="Arial"/>
                <w:b/>
                <w:u w:val="single"/>
              </w:rPr>
              <w:t>Curriculum design</w:t>
            </w:r>
          </w:p>
        </w:tc>
      </w:tr>
      <w:tr w:rsidR="00BD46C5" w:rsidRPr="006A4398" w14:paraId="72E29ED8" w14:textId="77777777" w:rsidTr="00DC6116">
        <w:trPr>
          <w:trHeight w:val="1418"/>
        </w:trPr>
        <w:tc>
          <w:tcPr>
            <w:tcW w:w="9242" w:type="dxa"/>
          </w:tcPr>
          <w:p w14:paraId="72E29ED2" w14:textId="77777777" w:rsidR="00BD46C5" w:rsidRPr="006A4398" w:rsidRDefault="00BD46C5" w:rsidP="00BD46C5">
            <w:pPr>
              <w:rPr>
                <w:rFonts w:ascii="Arial" w:hAnsi="Arial" w:cs="Arial"/>
                <w:b/>
              </w:rPr>
            </w:pPr>
            <w:r w:rsidRPr="006A4398">
              <w:rPr>
                <w:rFonts w:ascii="Arial" w:hAnsi="Arial" w:cs="Arial"/>
                <w:b/>
              </w:rPr>
              <w:t>Findings</w:t>
            </w:r>
          </w:p>
          <w:p w14:paraId="72E29ED3" w14:textId="2F33B833" w:rsidR="008B20EF" w:rsidRPr="006A4398" w:rsidRDefault="000F57EC" w:rsidP="008B20EF">
            <w:pPr>
              <w:pStyle w:val="ListParagraph"/>
              <w:numPr>
                <w:ilvl w:val="0"/>
                <w:numId w:val="2"/>
              </w:numPr>
              <w:rPr>
                <w:rFonts w:ascii="Arial" w:hAnsi="Arial" w:cs="Arial"/>
              </w:rPr>
            </w:pPr>
            <w:r>
              <w:rPr>
                <w:rFonts w:ascii="Arial" w:hAnsi="Arial" w:cs="Arial"/>
              </w:rPr>
              <w:t xml:space="preserve">The science curriculum is clearly sequenced. All </w:t>
            </w:r>
            <w:r w:rsidR="00AD5C0D">
              <w:rPr>
                <w:rFonts w:ascii="Arial" w:hAnsi="Arial" w:cs="Arial"/>
              </w:rPr>
              <w:t>students experience</w:t>
            </w:r>
            <w:r>
              <w:rPr>
                <w:rFonts w:ascii="Arial" w:hAnsi="Arial" w:cs="Arial"/>
              </w:rPr>
              <w:t xml:space="preserve"> the </w:t>
            </w:r>
            <w:r w:rsidR="00AD5C0D">
              <w:rPr>
                <w:rFonts w:ascii="Arial" w:hAnsi="Arial" w:cs="Arial"/>
              </w:rPr>
              <w:t xml:space="preserve">science </w:t>
            </w:r>
            <w:r>
              <w:rPr>
                <w:rFonts w:ascii="Arial" w:hAnsi="Arial" w:cs="Arial"/>
              </w:rPr>
              <w:t xml:space="preserve">curriculum in the same sequence over the course of the five years at Walton le Dale. The subject leader has developed a thorough understanding of the science curriculum and has a clear rationale for its design. </w:t>
            </w:r>
          </w:p>
          <w:p w14:paraId="7A209FB2" w14:textId="77777777" w:rsidR="00716EBA" w:rsidRDefault="000F57EC" w:rsidP="00716EBA">
            <w:pPr>
              <w:pStyle w:val="ListParagraph"/>
              <w:numPr>
                <w:ilvl w:val="0"/>
                <w:numId w:val="2"/>
              </w:numPr>
              <w:rPr>
                <w:rFonts w:ascii="Arial" w:hAnsi="Arial" w:cs="Arial"/>
              </w:rPr>
            </w:pPr>
            <w:r>
              <w:rPr>
                <w:rFonts w:ascii="Arial" w:hAnsi="Arial" w:cs="Arial"/>
              </w:rPr>
              <w:t>Substantive and disciplinary knowledge are clearly sequenced throughout the curriculum and structures are in place to deliver disciplinary knowledge in the context of relevant substantive knowledge.</w:t>
            </w:r>
          </w:p>
          <w:p w14:paraId="3EBA2100" w14:textId="77777777" w:rsidR="00BC7113" w:rsidRDefault="00BC7113" w:rsidP="00BC7113">
            <w:pPr>
              <w:pStyle w:val="ListParagraph"/>
              <w:numPr>
                <w:ilvl w:val="0"/>
                <w:numId w:val="2"/>
              </w:numPr>
              <w:rPr>
                <w:rFonts w:ascii="Arial" w:hAnsi="Arial" w:cs="Arial"/>
              </w:rPr>
            </w:pPr>
            <w:r>
              <w:rPr>
                <w:rFonts w:ascii="Arial" w:hAnsi="Arial" w:cs="Arial"/>
              </w:rPr>
              <w:t>The curriculum design meets the needs of the national curriculum.</w:t>
            </w:r>
          </w:p>
          <w:p w14:paraId="781E1F87" w14:textId="77777777" w:rsidR="00BC7113" w:rsidRDefault="00BC7113" w:rsidP="00BC7113">
            <w:pPr>
              <w:pStyle w:val="ListParagraph"/>
              <w:numPr>
                <w:ilvl w:val="0"/>
                <w:numId w:val="2"/>
              </w:numPr>
              <w:rPr>
                <w:rFonts w:ascii="Arial" w:hAnsi="Arial" w:cs="Arial"/>
              </w:rPr>
            </w:pPr>
            <w:r>
              <w:rPr>
                <w:rFonts w:ascii="Arial" w:hAnsi="Arial" w:cs="Arial"/>
              </w:rPr>
              <w:t>The subject leader and the science team have developed an understanding of the key threshold concepts in science that form the deep structure. The team have used these 'big ideas' to begin to develop core understanding that is essential to making progress through the curriculum.</w:t>
            </w:r>
          </w:p>
          <w:p w14:paraId="2D754DA4" w14:textId="6E2E3638" w:rsidR="00BC7113" w:rsidRDefault="00BC7113" w:rsidP="00BC7113">
            <w:pPr>
              <w:pStyle w:val="ListParagraph"/>
              <w:numPr>
                <w:ilvl w:val="0"/>
                <w:numId w:val="2"/>
              </w:numPr>
              <w:rPr>
                <w:rFonts w:ascii="Arial" w:hAnsi="Arial" w:cs="Arial"/>
              </w:rPr>
            </w:pPr>
            <w:r>
              <w:rPr>
                <w:rFonts w:ascii="Arial" w:hAnsi="Arial" w:cs="Arial"/>
              </w:rPr>
              <w:t xml:space="preserve">The key stage three curriculum includes an introduction to Psychology as a transition opportunity for </w:t>
            </w:r>
            <w:r w:rsidR="00AD5C0D">
              <w:rPr>
                <w:rFonts w:ascii="Arial" w:hAnsi="Arial" w:cs="Arial"/>
              </w:rPr>
              <w:t xml:space="preserve">all </w:t>
            </w:r>
            <w:r>
              <w:rPr>
                <w:rFonts w:ascii="Arial" w:hAnsi="Arial" w:cs="Arial"/>
              </w:rPr>
              <w:t>students</w:t>
            </w:r>
            <w:r w:rsidR="00AD5C0D">
              <w:rPr>
                <w:rFonts w:ascii="Arial" w:hAnsi="Arial" w:cs="Arial"/>
              </w:rPr>
              <w:t>. A proportion of students</w:t>
            </w:r>
            <w:r>
              <w:rPr>
                <w:rFonts w:ascii="Arial" w:hAnsi="Arial" w:cs="Arial"/>
              </w:rPr>
              <w:t xml:space="preserve"> select GCSE Psychology as an option</w:t>
            </w:r>
            <w:r w:rsidR="00AD5C0D">
              <w:rPr>
                <w:rFonts w:ascii="Arial" w:hAnsi="Arial" w:cs="Arial"/>
              </w:rPr>
              <w:t xml:space="preserve"> at key stage four.</w:t>
            </w:r>
          </w:p>
          <w:p w14:paraId="7DE2FD4C" w14:textId="186BF2B4" w:rsidR="00AD5C0D" w:rsidRDefault="00AD5C0D" w:rsidP="00BC7113">
            <w:pPr>
              <w:pStyle w:val="ListParagraph"/>
              <w:numPr>
                <w:ilvl w:val="0"/>
                <w:numId w:val="2"/>
              </w:numPr>
              <w:rPr>
                <w:rFonts w:ascii="Arial" w:hAnsi="Arial" w:cs="Arial"/>
              </w:rPr>
            </w:pPr>
            <w:r>
              <w:rPr>
                <w:rFonts w:ascii="Arial" w:hAnsi="Arial" w:cs="Arial"/>
              </w:rPr>
              <w:t>In science students follow a pathway through to Combined Science at GCSE or to Separate Sciences at GCSE</w:t>
            </w:r>
            <w:r w:rsidR="005167D3">
              <w:rPr>
                <w:rFonts w:ascii="Arial" w:hAnsi="Arial" w:cs="Arial"/>
              </w:rPr>
              <w:t>.</w:t>
            </w:r>
          </w:p>
          <w:p w14:paraId="72E29ED7" w14:textId="3AE9913B" w:rsidR="00AD5C0D" w:rsidRPr="00BC7113" w:rsidRDefault="00AD5C0D" w:rsidP="00AD5C0D">
            <w:pPr>
              <w:pStyle w:val="ListParagraph"/>
              <w:rPr>
                <w:rFonts w:ascii="Arial" w:hAnsi="Arial" w:cs="Arial"/>
              </w:rPr>
            </w:pPr>
          </w:p>
        </w:tc>
      </w:tr>
      <w:tr w:rsidR="00BD46C5" w:rsidRPr="006A4398" w14:paraId="72E29EE0" w14:textId="77777777" w:rsidTr="00DC6116">
        <w:trPr>
          <w:trHeight w:val="1418"/>
        </w:trPr>
        <w:tc>
          <w:tcPr>
            <w:tcW w:w="9242" w:type="dxa"/>
          </w:tcPr>
          <w:p w14:paraId="72E29ED9" w14:textId="77777777" w:rsidR="00BD46C5" w:rsidRDefault="00BD46C5" w:rsidP="00BD46C5">
            <w:pPr>
              <w:rPr>
                <w:rFonts w:ascii="Arial" w:hAnsi="Arial" w:cs="Arial"/>
                <w:b/>
              </w:rPr>
            </w:pPr>
            <w:r w:rsidRPr="006A4398">
              <w:rPr>
                <w:rFonts w:ascii="Arial" w:hAnsi="Arial" w:cs="Arial"/>
                <w:b/>
              </w:rPr>
              <w:t>Suggested actions</w:t>
            </w:r>
          </w:p>
          <w:p w14:paraId="72E29EDA" w14:textId="77777777" w:rsidR="00BF4C5D" w:rsidRPr="006A4398" w:rsidRDefault="00BF4C5D" w:rsidP="00BD46C5">
            <w:pPr>
              <w:rPr>
                <w:rFonts w:ascii="Arial" w:hAnsi="Arial" w:cs="Arial"/>
                <w:b/>
              </w:rPr>
            </w:pPr>
          </w:p>
          <w:p w14:paraId="72E29EDB" w14:textId="75B76A0A" w:rsidR="008B20EF" w:rsidRPr="006A4398" w:rsidRDefault="005167D3" w:rsidP="008B20EF">
            <w:pPr>
              <w:pStyle w:val="ListParagraph"/>
              <w:numPr>
                <w:ilvl w:val="0"/>
                <w:numId w:val="2"/>
              </w:numPr>
              <w:rPr>
                <w:rFonts w:ascii="Arial" w:hAnsi="Arial" w:cs="Arial"/>
              </w:rPr>
            </w:pPr>
            <w:r>
              <w:rPr>
                <w:rFonts w:ascii="Arial" w:hAnsi="Arial" w:cs="Arial"/>
              </w:rPr>
              <w:t>Continue to develop the delivery and assessment of disciplinary knowledge in the context of substantive knowledge through explicit teaching.</w:t>
            </w:r>
          </w:p>
          <w:p w14:paraId="792C9BB9" w14:textId="77777777" w:rsidR="00BF4C5D" w:rsidRDefault="00290361" w:rsidP="00BD46C5">
            <w:pPr>
              <w:pStyle w:val="ListParagraph"/>
              <w:numPr>
                <w:ilvl w:val="0"/>
                <w:numId w:val="2"/>
              </w:numPr>
              <w:rPr>
                <w:rFonts w:ascii="Arial" w:hAnsi="Arial" w:cs="Arial"/>
              </w:rPr>
            </w:pPr>
            <w:r>
              <w:rPr>
                <w:rFonts w:ascii="Arial" w:hAnsi="Arial" w:cs="Arial"/>
              </w:rPr>
              <w:t>Build in opportunities for curriculum review. Allow team members to periodically contribute to review conversations around best practice in relation to curriculum delivery, identifying misconceptions that occur during teaching.</w:t>
            </w:r>
          </w:p>
          <w:p w14:paraId="72E29EDF" w14:textId="5A0B28E4" w:rsidR="00290361" w:rsidRPr="006A4398" w:rsidRDefault="00290361" w:rsidP="00290361">
            <w:pPr>
              <w:pStyle w:val="ListParagraph"/>
              <w:rPr>
                <w:rFonts w:ascii="Arial" w:hAnsi="Arial" w:cs="Arial"/>
              </w:rPr>
            </w:pPr>
          </w:p>
        </w:tc>
      </w:tr>
    </w:tbl>
    <w:p w14:paraId="72E29EE3" w14:textId="77777777" w:rsidR="00AD6684" w:rsidRPr="006A4398" w:rsidRDefault="00AD6684">
      <w:pPr>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EE5" w14:textId="77777777" w:rsidTr="00475E16">
        <w:trPr>
          <w:trHeight w:val="454"/>
        </w:trPr>
        <w:tc>
          <w:tcPr>
            <w:tcW w:w="9242" w:type="dxa"/>
            <w:shd w:val="clear" w:color="auto" w:fill="D9D9D9" w:themeFill="background1" w:themeFillShade="D9"/>
            <w:vAlign w:val="center"/>
          </w:tcPr>
          <w:p w14:paraId="72E29EE4" w14:textId="00327520" w:rsidR="00BD46C5" w:rsidRPr="006A4398" w:rsidRDefault="0089011C" w:rsidP="00DC6116">
            <w:pPr>
              <w:rPr>
                <w:rFonts w:ascii="Arial" w:hAnsi="Arial" w:cs="Arial"/>
              </w:rPr>
            </w:pPr>
            <w:r w:rsidRPr="006A4398">
              <w:rPr>
                <w:rFonts w:ascii="Arial" w:hAnsi="Arial" w:cs="Arial"/>
                <w:b/>
                <w:u w:val="single"/>
              </w:rPr>
              <w:t>Teaching and learning within the department</w:t>
            </w:r>
          </w:p>
        </w:tc>
      </w:tr>
      <w:tr w:rsidR="00BD46C5" w:rsidRPr="006A4398" w14:paraId="72E29EEC" w14:textId="77777777" w:rsidTr="00DC6116">
        <w:trPr>
          <w:trHeight w:val="1418"/>
        </w:trPr>
        <w:tc>
          <w:tcPr>
            <w:tcW w:w="9242" w:type="dxa"/>
          </w:tcPr>
          <w:p w14:paraId="72E29EE6" w14:textId="52F15627" w:rsidR="00BD46C5" w:rsidRPr="006A4398" w:rsidRDefault="00BD46C5" w:rsidP="00BD46C5">
            <w:pPr>
              <w:rPr>
                <w:rFonts w:ascii="Arial" w:hAnsi="Arial" w:cs="Arial"/>
                <w:b/>
              </w:rPr>
            </w:pPr>
            <w:r w:rsidRPr="006A4398">
              <w:rPr>
                <w:rFonts w:ascii="Arial" w:hAnsi="Arial" w:cs="Arial"/>
                <w:b/>
              </w:rPr>
              <w:t>Findings</w:t>
            </w:r>
            <w:r w:rsidR="0089011C">
              <w:rPr>
                <w:rFonts w:ascii="Arial" w:hAnsi="Arial" w:cs="Arial"/>
                <w:b/>
              </w:rPr>
              <w:t xml:space="preserve"> – based on eleven visits to lessons with a focus on learning and teaching, each lasting no more than 15 minutes</w:t>
            </w:r>
          </w:p>
          <w:p w14:paraId="5F42836E" w14:textId="77777777" w:rsidR="00BC50A9" w:rsidRDefault="00D256BE" w:rsidP="008B20EF">
            <w:pPr>
              <w:pStyle w:val="ListParagraph"/>
              <w:numPr>
                <w:ilvl w:val="0"/>
                <w:numId w:val="2"/>
              </w:numPr>
              <w:rPr>
                <w:rFonts w:ascii="Arial" w:hAnsi="Arial" w:cs="Arial"/>
              </w:rPr>
            </w:pPr>
            <w:r>
              <w:rPr>
                <w:rFonts w:ascii="Arial" w:hAnsi="Arial" w:cs="Arial"/>
              </w:rPr>
              <w:t>Teaching and learning in science is of a good quality.</w:t>
            </w:r>
          </w:p>
          <w:p w14:paraId="190E0D5D" w14:textId="77777777" w:rsidR="00D256BE" w:rsidRDefault="00D256BE" w:rsidP="008B20EF">
            <w:pPr>
              <w:pStyle w:val="ListParagraph"/>
              <w:numPr>
                <w:ilvl w:val="0"/>
                <w:numId w:val="2"/>
              </w:numPr>
              <w:rPr>
                <w:rFonts w:ascii="Arial" w:hAnsi="Arial" w:cs="Arial"/>
              </w:rPr>
            </w:pPr>
            <w:r>
              <w:rPr>
                <w:rFonts w:ascii="Arial" w:hAnsi="Arial" w:cs="Arial"/>
              </w:rPr>
              <w:t>There is consistency of practice across the faculty in the use of super six starters, during which students are informally assessed on knowledge and skills from previous lessons over different intervals of time. At its best, this encourages retention and recall over a range of substantive content in the main.</w:t>
            </w:r>
          </w:p>
          <w:p w14:paraId="5FF808B2" w14:textId="77777777" w:rsidR="00D256BE" w:rsidRDefault="00D256BE" w:rsidP="008B20EF">
            <w:pPr>
              <w:pStyle w:val="ListParagraph"/>
              <w:numPr>
                <w:ilvl w:val="0"/>
                <w:numId w:val="2"/>
              </w:numPr>
              <w:rPr>
                <w:rFonts w:ascii="Arial" w:hAnsi="Arial" w:cs="Arial"/>
              </w:rPr>
            </w:pPr>
            <w:r>
              <w:rPr>
                <w:rFonts w:ascii="Arial" w:hAnsi="Arial" w:cs="Arial"/>
              </w:rPr>
              <w:t>There is consistency of practice in the use of exit three questioning that helps draw together the key learning and skills from the lesson.</w:t>
            </w:r>
          </w:p>
          <w:p w14:paraId="7881A0CE" w14:textId="259E6C2B" w:rsidR="00D256BE" w:rsidRDefault="00D256BE" w:rsidP="008B20EF">
            <w:pPr>
              <w:pStyle w:val="ListParagraph"/>
              <w:numPr>
                <w:ilvl w:val="0"/>
                <w:numId w:val="2"/>
              </w:numPr>
              <w:rPr>
                <w:rFonts w:ascii="Arial" w:hAnsi="Arial" w:cs="Arial"/>
              </w:rPr>
            </w:pPr>
            <w:r>
              <w:rPr>
                <w:rFonts w:ascii="Arial" w:hAnsi="Arial" w:cs="Arial"/>
              </w:rPr>
              <w:t xml:space="preserve">Questioning is a strong feature of science lessons, with high levels of teacher engagement </w:t>
            </w:r>
            <w:r w:rsidR="00B112CC">
              <w:rPr>
                <w:rFonts w:ascii="Arial" w:hAnsi="Arial" w:cs="Arial"/>
              </w:rPr>
              <w:t>with students, using cold calling.</w:t>
            </w:r>
          </w:p>
          <w:p w14:paraId="49A8842A" w14:textId="38EF610D" w:rsidR="00B112CC" w:rsidRDefault="00B112CC" w:rsidP="008B20EF">
            <w:pPr>
              <w:pStyle w:val="ListParagraph"/>
              <w:numPr>
                <w:ilvl w:val="0"/>
                <w:numId w:val="2"/>
              </w:numPr>
              <w:rPr>
                <w:rFonts w:ascii="Arial" w:hAnsi="Arial" w:cs="Arial"/>
              </w:rPr>
            </w:pPr>
            <w:r>
              <w:rPr>
                <w:rFonts w:ascii="Arial" w:hAnsi="Arial" w:cs="Arial"/>
              </w:rPr>
              <w:t xml:space="preserve">Staff 'touring' the classroom, prompting and probing, </w:t>
            </w:r>
            <w:r w:rsidR="00EF23A0">
              <w:rPr>
                <w:rFonts w:ascii="Arial" w:hAnsi="Arial" w:cs="Arial"/>
              </w:rPr>
              <w:t>responding,</w:t>
            </w:r>
            <w:r>
              <w:rPr>
                <w:rFonts w:ascii="Arial" w:hAnsi="Arial" w:cs="Arial"/>
              </w:rPr>
              <w:t xml:space="preserve"> and adapting </w:t>
            </w:r>
            <w:r w:rsidR="008C0A5F">
              <w:rPr>
                <w:rFonts w:ascii="Arial" w:hAnsi="Arial" w:cs="Arial"/>
              </w:rPr>
              <w:t>is</w:t>
            </w:r>
            <w:r>
              <w:rPr>
                <w:rFonts w:ascii="Arial" w:hAnsi="Arial" w:cs="Arial"/>
              </w:rPr>
              <w:t xml:space="preserve"> particularly effective.</w:t>
            </w:r>
          </w:p>
          <w:p w14:paraId="25630985" w14:textId="05345A9F" w:rsidR="00B112CC" w:rsidRPr="00EF23A0" w:rsidRDefault="00EF23A0" w:rsidP="00EF23A0">
            <w:pPr>
              <w:pStyle w:val="ListParagraph"/>
              <w:numPr>
                <w:ilvl w:val="0"/>
                <w:numId w:val="2"/>
              </w:numPr>
              <w:rPr>
                <w:rFonts w:ascii="Arial" w:hAnsi="Arial" w:cs="Arial"/>
              </w:rPr>
            </w:pPr>
            <w:r>
              <w:rPr>
                <w:rFonts w:ascii="Arial" w:hAnsi="Arial" w:cs="Arial"/>
              </w:rPr>
              <w:t>Effective use of mini whiteboards in several lessons by a variety of staff was seen to promote effective whole class assessment.</w:t>
            </w:r>
          </w:p>
          <w:p w14:paraId="4680A81A" w14:textId="77777777" w:rsidR="00B112CC" w:rsidRDefault="00B112CC" w:rsidP="008B20EF">
            <w:pPr>
              <w:pStyle w:val="ListParagraph"/>
              <w:numPr>
                <w:ilvl w:val="0"/>
                <w:numId w:val="2"/>
              </w:numPr>
              <w:rPr>
                <w:rFonts w:ascii="Arial" w:hAnsi="Arial" w:cs="Arial"/>
              </w:rPr>
            </w:pPr>
            <w:r>
              <w:rPr>
                <w:rFonts w:ascii="Arial" w:hAnsi="Arial" w:cs="Arial"/>
              </w:rPr>
              <w:t>Individual examples of best practice observed include:</w:t>
            </w:r>
          </w:p>
          <w:p w14:paraId="5EBE8717" w14:textId="3CFB0D6C" w:rsidR="00B112CC" w:rsidRDefault="00B112CC" w:rsidP="00B112CC">
            <w:pPr>
              <w:pStyle w:val="ListParagraph"/>
              <w:numPr>
                <w:ilvl w:val="1"/>
                <w:numId w:val="2"/>
              </w:numPr>
              <w:rPr>
                <w:rFonts w:ascii="Arial" w:hAnsi="Arial" w:cs="Arial"/>
              </w:rPr>
            </w:pPr>
            <w:r>
              <w:rPr>
                <w:rFonts w:ascii="Arial" w:hAnsi="Arial" w:cs="Arial"/>
              </w:rPr>
              <w:t>Question – response – follow up question – response – praise with specifics. An outstanding exchange between staff and students where the follow up, probing questioning particularly exposed the learning taking place and the subsequent praise being specific to the best features of the response.</w:t>
            </w:r>
          </w:p>
          <w:p w14:paraId="6E1CB917" w14:textId="77777777" w:rsidR="00B112CC" w:rsidRDefault="00B112CC" w:rsidP="00B112CC">
            <w:pPr>
              <w:pStyle w:val="ListParagraph"/>
              <w:numPr>
                <w:ilvl w:val="1"/>
                <w:numId w:val="2"/>
              </w:numPr>
              <w:rPr>
                <w:rFonts w:ascii="Arial" w:hAnsi="Arial" w:cs="Arial"/>
              </w:rPr>
            </w:pPr>
            <w:r>
              <w:rPr>
                <w:rFonts w:ascii="Arial" w:hAnsi="Arial" w:cs="Arial"/>
              </w:rPr>
              <w:t>Whilst cold calling, prior lead-in time was given to allow students time to build their answers. This strategy is very effective as it allows the consistent use of cold calling in addition to adding a layer of calm preparation time.</w:t>
            </w:r>
          </w:p>
          <w:p w14:paraId="319F5974" w14:textId="77777777" w:rsidR="00B112CC" w:rsidRDefault="00B112CC" w:rsidP="00B112CC">
            <w:pPr>
              <w:pStyle w:val="ListParagraph"/>
              <w:numPr>
                <w:ilvl w:val="1"/>
                <w:numId w:val="2"/>
              </w:numPr>
              <w:rPr>
                <w:rFonts w:ascii="Arial" w:hAnsi="Arial" w:cs="Arial"/>
              </w:rPr>
            </w:pPr>
            <w:r>
              <w:rPr>
                <w:rFonts w:ascii="Arial" w:hAnsi="Arial" w:cs="Arial"/>
              </w:rPr>
              <w:t>Particularly good use of classroom display in helping students answer part of the super six starter questions. Clear reminders of strategies that are helpful in understanding substantive knowledge.</w:t>
            </w:r>
          </w:p>
          <w:p w14:paraId="6AF3CA22" w14:textId="1383E809" w:rsidR="00B112CC" w:rsidRDefault="00B112CC" w:rsidP="00B112CC">
            <w:pPr>
              <w:pStyle w:val="ListParagraph"/>
              <w:numPr>
                <w:ilvl w:val="1"/>
                <w:numId w:val="2"/>
              </w:numPr>
              <w:rPr>
                <w:rFonts w:ascii="Arial" w:hAnsi="Arial" w:cs="Arial"/>
              </w:rPr>
            </w:pPr>
            <w:r>
              <w:rPr>
                <w:rFonts w:ascii="Arial" w:hAnsi="Arial" w:cs="Arial"/>
              </w:rPr>
              <w:t>Explicit sharing of the organisational aspects of think-pair-share. Students roles in the activity clearly outlined.</w:t>
            </w:r>
            <w:r w:rsidR="00EF23A0">
              <w:rPr>
                <w:rFonts w:ascii="Arial" w:hAnsi="Arial" w:cs="Arial"/>
              </w:rPr>
              <w:t xml:space="preserve"> This ensured high levels of engagement with the proposed learning activity.</w:t>
            </w:r>
          </w:p>
          <w:p w14:paraId="72E29EEB" w14:textId="12207D47" w:rsidR="00B112CC" w:rsidRPr="006A4398" w:rsidRDefault="00EF23A0" w:rsidP="00B112CC">
            <w:pPr>
              <w:pStyle w:val="ListParagraph"/>
              <w:numPr>
                <w:ilvl w:val="1"/>
                <w:numId w:val="2"/>
              </w:numPr>
              <w:rPr>
                <w:rFonts w:ascii="Arial" w:hAnsi="Arial" w:cs="Arial"/>
              </w:rPr>
            </w:pPr>
            <w:r>
              <w:rPr>
                <w:rFonts w:ascii="Arial" w:hAnsi="Arial" w:cs="Arial"/>
              </w:rPr>
              <w:t>Retention task covering a whole unit of work being used to reteach where necessary in preparation for an end of unit summative assessment. Skilful questioning and scaffolding enabling recall from students.</w:t>
            </w:r>
          </w:p>
        </w:tc>
      </w:tr>
      <w:tr w:rsidR="00BD46C5" w:rsidRPr="006A4398" w14:paraId="72E29EF1" w14:textId="77777777" w:rsidTr="00DC6116">
        <w:trPr>
          <w:trHeight w:val="1418"/>
        </w:trPr>
        <w:tc>
          <w:tcPr>
            <w:tcW w:w="9242" w:type="dxa"/>
          </w:tcPr>
          <w:p w14:paraId="72E29EED" w14:textId="77777777" w:rsidR="00BD46C5" w:rsidRPr="006A4398" w:rsidRDefault="00BD46C5" w:rsidP="00BD46C5">
            <w:pPr>
              <w:rPr>
                <w:rFonts w:ascii="Arial" w:hAnsi="Arial" w:cs="Arial"/>
                <w:b/>
              </w:rPr>
            </w:pPr>
            <w:r w:rsidRPr="006A4398">
              <w:rPr>
                <w:rFonts w:ascii="Arial" w:hAnsi="Arial" w:cs="Arial"/>
                <w:b/>
              </w:rPr>
              <w:t>Suggested actions</w:t>
            </w:r>
          </w:p>
          <w:p w14:paraId="03FC3883" w14:textId="526B0331" w:rsidR="00D85627" w:rsidRDefault="00D85627" w:rsidP="008B20EF">
            <w:pPr>
              <w:pStyle w:val="ListParagraph"/>
              <w:numPr>
                <w:ilvl w:val="0"/>
                <w:numId w:val="2"/>
              </w:numPr>
              <w:rPr>
                <w:rFonts w:ascii="Arial" w:hAnsi="Arial" w:cs="Arial"/>
              </w:rPr>
            </w:pPr>
            <w:r>
              <w:rPr>
                <w:rFonts w:ascii="Arial" w:hAnsi="Arial" w:cs="Arial"/>
              </w:rPr>
              <w:t>Continue to use and develop the super six starters and the exit three plenary tasks both formatively and diagnostically, encouraging staff to reteach and revisit where necessary</w:t>
            </w:r>
            <w:r w:rsidR="00D256BE">
              <w:rPr>
                <w:rFonts w:ascii="Arial" w:hAnsi="Arial" w:cs="Arial"/>
              </w:rPr>
              <w:t>. Begin to include disciplinary knowledge in the super six and exit three to help improve interweaving with substantive knowledge.</w:t>
            </w:r>
          </w:p>
          <w:p w14:paraId="72E29EF0" w14:textId="7D5ED8B0" w:rsidR="00015A35" w:rsidRPr="00664F47" w:rsidRDefault="00015A35" w:rsidP="008B20EF">
            <w:pPr>
              <w:pStyle w:val="ListParagraph"/>
              <w:numPr>
                <w:ilvl w:val="0"/>
                <w:numId w:val="2"/>
              </w:numPr>
              <w:rPr>
                <w:rFonts w:ascii="Arial" w:hAnsi="Arial" w:cs="Arial"/>
              </w:rPr>
            </w:pPr>
            <w:r>
              <w:rPr>
                <w:rFonts w:ascii="Arial" w:hAnsi="Arial" w:cs="Arial"/>
              </w:rPr>
              <w:t>Share expertise and best practice at faculty meetings whenever possible. Possibly highlighting a different member of staff each meeting, with a chance to share a 'what went well' moment.</w:t>
            </w:r>
          </w:p>
        </w:tc>
      </w:tr>
    </w:tbl>
    <w:p w14:paraId="72E29EF2" w14:textId="77777777" w:rsidR="006361D1" w:rsidRPr="006A4398" w:rsidRDefault="006361D1">
      <w:pPr>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EF4" w14:textId="77777777" w:rsidTr="00475E16">
        <w:trPr>
          <w:trHeight w:val="454"/>
        </w:trPr>
        <w:tc>
          <w:tcPr>
            <w:tcW w:w="9242" w:type="dxa"/>
            <w:shd w:val="clear" w:color="auto" w:fill="D9D9D9" w:themeFill="background1" w:themeFillShade="D9"/>
            <w:vAlign w:val="center"/>
          </w:tcPr>
          <w:p w14:paraId="72E29EF3" w14:textId="55CBD997" w:rsidR="00BD46C5" w:rsidRPr="006A4398" w:rsidRDefault="00DF3EC2" w:rsidP="00BD46C5">
            <w:pPr>
              <w:rPr>
                <w:rFonts w:ascii="Arial" w:hAnsi="Arial" w:cs="Arial"/>
                <w:b/>
                <w:u w:val="single"/>
              </w:rPr>
            </w:pPr>
            <w:r>
              <w:rPr>
                <w:rFonts w:ascii="Arial" w:hAnsi="Arial" w:cs="Arial"/>
                <w:b/>
                <w:u w:val="single"/>
              </w:rPr>
              <w:t>Student Voice</w:t>
            </w:r>
          </w:p>
        </w:tc>
      </w:tr>
      <w:tr w:rsidR="00BD46C5" w:rsidRPr="006A4398" w14:paraId="72E29F00" w14:textId="77777777" w:rsidTr="00DC6116">
        <w:trPr>
          <w:trHeight w:val="1418"/>
        </w:trPr>
        <w:tc>
          <w:tcPr>
            <w:tcW w:w="9242" w:type="dxa"/>
          </w:tcPr>
          <w:p w14:paraId="3A6E6C4A" w14:textId="77777777" w:rsidR="00183F45" w:rsidRDefault="00015A35" w:rsidP="0089011C">
            <w:pPr>
              <w:pStyle w:val="ListParagraph"/>
              <w:numPr>
                <w:ilvl w:val="0"/>
                <w:numId w:val="2"/>
              </w:numPr>
              <w:rPr>
                <w:rFonts w:ascii="Arial" w:hAnsi="Arial" w:cs="Arial"/>
              </w:rPr>
            </w:pPr>
            <w:r>
              <w:rPr>
                <w:rFonts w:ascii="Arial" w:hAnsi="Arial" w:cs="Arial"/>
              </w:rPr>
              <w:t>Conducted with five students from different year groups and different prior attainment backgrounds. One student from GCSE Psychology and four students studying science, year 7, year 9, year 9 and year 11</w:t>
            </w:r>
          </w:p>
          <w:p w14:paraId="43A45E39" w14:textId="77777777" w:rsidR="00015A35" w:rsidRDefault="00015A35" w:rsidP="0089011C">
            <w:pPr>
              <w:pStyle w:val="ListParagraph"/>
              <w:numPr>
                <w:ilvl w:val="0"/>
                <w:numId w:val="2"/>
              </w:numPr>
              <w:rPr>
                <w:rFonts w:ascii="Arial" w:hAnsi="Arial" w:cs="Arial"/>
              </w:rPr>
            </w:pPr>
            <w:r>
              <w:rPr>
                <w:rFonts w:ascii="Arial" w:hAnsi="Arial" w:cs="Arial"/>
              </w:rPr>
              <w:t>Without exception, students are able to clearly articulate the learning from that day. Students had good understanding of the substantive and disciplinary knowledge being developed.</w:t>
            </w:r>
          </w:p>
          <w:p w14:paraId="467F175F" w14:textId="77777777" w:rsidR="00015A35" w:rsidRDefault="00015A35" w:rsidP="0089011C">
            <w:pPr>
              <w:pStyle w:val="ListParagraph"/>
              <w:numPr>
                <w:ilvl w:val="0"/>
                <w:numId w:val="2"/>
              </w:numPr>
              <w:rPr>
                <w:rFonts w:ascii="Arial" w:hAnsi="Arial" w:cs="Arial"/>
              </w:rPr>
            </w:pPr>
            <w:r>
              <w:rPr>
                <w:rFonts w:ascii="Arial" w:hAnsi="Arial" w:cs="Arial"/>
              </w:rPr>
              <w:t>Students could link back to previous learning and had an awareness of the sequence of lessons to that point. Students were less confident talking about the upcoming lessons in a sequence and found it difficult to articulate the 'direction of travel' of the learning.</w:t>
            </w:r>
          </w:p>
          <w:p w14:paraId="01C14EFA" w14:textId="76DCDEE4" w:rsidR="00015A35" w:rsidRDefault="00532E2A" w:rsidP="0089011C">
            <w:pPr>
              <w:pStyle w:val="ListParagraph"/>
              <w:numPr>
                <w:ilvl w:val="0"/>
                <w:numId w:val="2"/>
              </w:numPr>
              <w:rPr>
                <w:rFonts w:ascii="Arial" w:hAnsi="Arial" w:cs="Arial"/>
              </w:rPr>
            </w:pPr>
            <w:r>
              <w:rPr>
                <w:rFonts w:ascii="Arial" w:hAnsi="Arial" w:cs="Arial"/>
              </w:rPr>
              <w:t>Homework was seen by students to be linked to both previous learning as consolidation and as a vehicle for introducing new content.</w:t>
            </w:r>
          </w:p>
          <w:p w14:paraId="1B509544" w14:textId="77806968" w:rsidR="00015A35" w:rsidRDefault="007A1DD7" w:rsidP="0089011C">
            <w:pPr>
              <w:pStyle w:val="ListParagraph"/>
              <w:numPr>
                <w:ilvl w:val="0"/>
                <w:numId w:val="2"/>
              </w:numPr>
              <w:rPr>
                <w:rFonts w:ascii="Arial" w:hAnsi="Arial" w:cs="Arial"/>
              </w:rPr>
            </w:pPr>
            <w:r>
              <w:rPr>
                <w:rFonts w:ascii="Arial" w:hAnsi="Arial" w:cs="Arial"/>
              </w:rPr>
              <w:t>Students understand the purpose of the super six as an aide to retention and recall and valued this as part of the science and psychology lessons.</w:t>
            </w:r>
          </w:p>
          <w:p w14:paraId="72E29EFF" w14:textId="2F7E4CAF" w:rsidR="007A1DD7" w:rsidRPr="0089011C" w:rsidRDefault="007A1DD7" w:rsidP="007A1DD7">
            <w:pPr>
              <w:pStyle w:val="ListParagraph"/>
              <w:rPr>
                <w:rFonts w:ascii="Arial" w:hAnsi="Arial" w:cs="Arial"/>
              </w:rPr>
            </w:pPr>
          </w:p>
        </w:tc>
      </w:tr>
      <w:tr w:rsidR="00BD46C5" w:rsidRPr="006A4398" w14:paraId="72E29F05" w14:textId="77777777" w:rsidTr="00DC6116">
        <w:trPr>
          <w:trHeight w:val="1418"/>
        </w:trPr>
        <w:tc>
          <w:tcPr>
            <w:tcW w:w="9242" w:type="dxa"/>
          </w:tcPr>
          <w:p w14:paraId="72E29F01" w14:textId="77777777" w:rsidR="00BD46C5" w:rsidRPr="006A4398" w:rsidRDefault="00BD46C5" w:rsidP="00BD46C5">
            <w:pPr>
              <w:rPr>
                <w:rFonts w:ascii="Arial" w:hAnsi="Arial" w:cs="Arial"/>
                <w:b/>
              </w:rPr>
            </w:pPr>
            <w:r w:rsidRPr="006A4398">
              <w:rPr>
                <w:rFonts w:ascii="Arial" w:hAnsi="Arial" w:cs="Arial"/>
                <w:b/>
              </w:rPr>
              <w:t>Suggested actions</w:t>
            </w:r>
          </w:p>
          <w:p w14:paraId="0BCF1DE0" w14:textId="09F82A2F" w:rsidR="00015A35" w:rsidRDefault="00015A35" w:rsidP="00015A35">
            <w:pPr>
              <w:pStyle w:val="ListParagraph"/>
              <w:numPr>
                <w:ilvl w:val="0"/>
                <w:numId w:val="2"/>
              </w:numPr>
              <w:rPr>
                <w:rFonts w:ascii="Arial" w:hAnsi="Arial" w:cs="Arial"/>
              </w:rPr>
            </w:pPr>
            <w:r>
              <w:rPr>
                <w:rFonts w:ascii="Arial" w:hAnsi="Arial" w:cs="Arial"/>
              </w:rPr>
              <w:t xml:space="preserve">Use </w:t>
            </w:r>
            <w:r w:rsidR="008C0A5F">
              <w:rPr>
                <w:rFonts w:ascii="Arial" w:hAnsi="Arial" w:cs="Arial"/>
              </w:rPr>
              <w:t>'</w:t>
            </w:r>
            <w:r>
              <w:rPr>
                <w:rFonts w:ascii="Arial" w:hAnsi="Arial" w:cs="Arial"/>
              </w:rPr>
              <w:t>zoom in, zoom out</w:t>
            </w:r>
            <w:r w:rsidR="008C0A5F">
              <w:rPr>
                <w:rFonts w:ascii="Arial" w:hAnsi="Arial" w:cs="Arial"/>
              </w:rPr>
              <w:t>'</w:t>
            </w:r>
            <w:r>
              <w:rPr>
                <w:rFonts w:ascii="Arial" w:hAnsi="Arial" w:cs="Arial"/>
              </w:rPr>
              <w:t xml:space="preserve"> to help make the context of the learning explicit to students. Share the sequence of lessons that the students will be studying, linking backwards </w:t>
            </w:r>
            <w:r w:rsidRPr="008C0A5F">
              <w:rPr>
                <w:rFonts w:ascii="Arial" w:hAnsi="Arial" w:cs="Arial"/>
                <w:u w:val="single"/>
              </w:rPr>
              <w:t>and forwards</w:t>
            </w:r>
            <w:r>
              <w:rPr>
                <w:rFonts w:ascii="Arial" w:hAnsi="Arial" w:cs="Arial"/>
              </w:rPr>
              <w:t xml:space="preserve"> through the sequence.</w:t>
            </w:r>
          </w:p>
          <w:p w14:paraId="72E29F04" w14:textId="31D09DFB" w:rsidR="00D53858" w:rsidRPr="004F2F50" w:rsidRDefault="00D53858" w:rsidP="007A1DD7">
            <w:pPr>
              <w:pStyle w:val="ListParagraph"/>
              <w:rPr>
                <w:rFonts w:ascii="Arial" w:hAnsi="Arial" w:cs="Arial"/>
              </w:rPr>
            </w:pPr>
          </w:p>
        </w:tc>
      </w:tr>
    </w:tbl>
    <w:p w14:paraId="72E29F06" w14:textId="77777777" w:rsidR="006361D1" w:rsidRPr="006A4398" w:rsidRDefault="006361D1">
      <w:pPr>
        <w:rPr>
          <w:rFonts w:ascii="Arial" w:hAnsi="Arial" w:cs="Arial"/>
        </w:rPr>
      </w:pPr>
    </w:p>
    <w:tbl>
      <w:tblPr>
        <w:tblStyle w:val="TableGrid"/>
        <w:tblW w:w="0" w:type="auto"/>
        <w:tblLook w:val="04A0" w:firstRow="1" w:lastRow="0" w:firstColumn="1" w:lastColumn="0" w:noHBand="0" w:noVBand="1"/>
      </w:tblPr>
      <w:tblGrid>
        <w:gridCol w:w="9016"/>
      </w:tblGrid>
      <w:tr w:rsidR="00BD46C5" w:rsidRPr="006A4398" w14:paraId="72E29F1C" w14:textId="77777777" w:rsidTr="0074413C">
        <w:trPr>
          <w:trHeight w:val="454"/>
        </w:trPr>
        <w:tc>
          <w:tcPr>
            <w:tcW w:w="9016" w:type="dxa"/>
            <w:shd w:val="clear" w:color="auto" w:fill="D9D9D9" w:themeFill="background1" w:themeFillShade="D9"/>
            <w:vAlign w:val="center"/>
          </w:tcPr>
          <w:p w14:paraId="72E29F1B" w14:textId="77777777" w:rsidR="00BD46C5" w:rsidRPr="006A4398" w:rsidRDefault="004B2A01" w:rsidP="00BD46C5">
            <w:pPr>
              <w:rPr>
                <w:rFonts w:ascii="Arial" w:hAnsi="Arial" w:cs="Arial"/>
                <w:b/>
                <w:u w:val="single"/>
              </w:rPr>
            </w:pPr>
            <w:r>
              <w:rPr>
                <w:rFonts w:ascii="Arial" w:hAnsi="Arial" w:cs="Arial"/>
                <w:b/>
                <w:u w:val="single"/>
              </w:rPr>
              <w:t>Key findings and priority areas for development</w:t>
            </w:r>
          </w:p>
        </w:tc>
      </w:tr>
      <w:tr w:rsidR="0074413C" w:rsidRPr="006A4398" w14:paraId="72E29F1F" w14:textId="77777777" w:rsidTr="0074413C">
        <w:trPr>
          <w:trHeight w:val="2433"/>
        </w:trPr>
        <w:tc>
          <w:tcPr>
            <w:tcW w:w="9016" w:type="dxa"/>
          </w:tcPr>
          <w:p w14:paraId="20B9C2F4" w14:textId="77777777" w:rsidR="00167A08" w:rsidRDefault="007A1DD7" w:rsidP="008B20EF">
            <w:pPr>
              <w:pStyle w:val="ListParagraph"/>
              <w:numPr>
                <w:ilvl w:val="0"/>
                <w:numId w:val="6"/>
              </w:numPr>
              <w:rPr>
                <w:rFonts w:ascii="Arial" w:hAnsi="Arial" w:cs="Arial"/>
              </w:rPr>
            </w:pPr>
            <w:r>
              <w:rPr>
                <w:rFonts w:ascii="Arial" w:hAnsi="Arial" w:cs="Arial"/>
              </w:rPr>
              <w:t>This is currently a good science department.</w:t>
            </w:r>
          </w:p>
          <w:p w14:paraId="2562AF4B" w14:textId="77777777" w:rsidR="007A1DD7" w:rsidRDefault="007A1DD7" w:rsidP="008B20EF">
            <w:pPr>
              <w:pStyle w:val="ListParagraph"/>
              <w:numPr>
                <w:ilvl w:val="0"/>
                <w:numId w:val="6"/>
              </w:numPr>
              <w:rPr>
                <w:rFonts w:ascii="Arial" w:hAnsi="Arial" w:cs="Arial"/>
              </w:rPr>
            </w:pPr>
            <w:r>
              <w:rPr>
                <w:rFonts w:ascii="Arial" w:hAnsi="Arial" w:cs="Arial"/>
              </w:rPr>
              <w:t>Leadership of the department is clear and consistent. Roles are clear and the subject leader and assistant subject leader can articulate their intent for the science department with confidence.</w:t>
            </w:r>
          </w:p>
          <w:p w14:paraId="240A2F16" w14:textId="77777777" w:rsidR="007A1DD7" w:rsidRDefault="007A1DD7" w:rsidP="008B20EF">
            <w:pPr>
              <w:pStyle w:val="ListParagraph"/>
              <w:numPr>
                <w:ilvl w:val="0"/>
                <w:numId w:val="6"/>
              </w:numPr>
              <w:rPr>
                <w:rFonts w:ascii="Arial" w:hAnsi="Arial" w:cs="Arial"/>
              </w:rPr>
            </w:pPr>
            <w:r>
              <w:rPr>
                <w:rFonts w:ascii="Arial" w:hAnsi="Arial" w:cs="Arial"/>
              </w:rPr>
              <w:t>The purpose and use of assessment is well understood, with mini whiteboards, cold calling and questioning particularly strong features in most science lessons.</w:t>
            </w:r>
          </w:p>
          <w:p w14:paraId="072024E4" w14:textId="24D161EF" w:rsidR="007A1DD7" w:rsidRDefault="007A1DD7" w:rsidP="008B20EF">
            <w:pPr>
              <w:pStyle w:val="ListParagraph"/>
              <w:numPr>
                <w:ilvl w:val="0"/>
                <w:numId w:val="6"/>
              </w:numPr>
              <w:rPr>
                <w:rFonts w:ascii="Arial" w:hAnsi="Arial" w:cs="Arial"/>
              </w:rPr>
            </w:pPr>
            <w:r>
              <w:rPr>
                <w:rFonts w:ascii="Arial" w:hAnsi="Arial" w:cs="Arial"/>
              </w:rPr>
              <w:t>The curriculum model for science is well designed and sequenced and being delivered consistently by all members of the science team.</w:t>
            </w:r>
          </w:p>
          <w:p w14:paraId="6FDC9E7E" w14:textId="77777777" w:rsidR="007A1DD7" w:rsidRDefault="007A1DD7" w:rsidP="008B20EF">
            <w:pPr>
              <w:pStyle w:val="ListParagraph"/>
              <w:numPr>
                <w:ilvl w:val="0"/>
                <w:numId w:val="6"/>
              </w:numPr>
              <w:rPr>
                <w:rFonts w:ascii="Arial" w:hAnsi="Arial" w:cs="Arial"/>
              </w:rPr>
            </w:pPr>
            <w:r>
              <w:rPr>
                <w:rFonts w:ascii="Arial" w:hAnsi="Arial" w:cs="Arial"/>
              </w:rPr>
              <w:t>Relationships between staff and students appear very positive and the behaviour for learning observed during the review was very positive, exhibiting high levels of engagement and participation with consistent application of rewards and sanctions being observed.</w:t>
            </w:r>
          </w:p>
          <w:p w14:paraId="06A03540" w14:textId="77777777" w:rsidR="007A1DD7" w:rsidRDefault="007A1DD7" w:rsidP="007A1DD7">
            <w:pPr>
              <w:rPr>
                <w:rFonts w:ascii="Arial" w:hAnsi="Arial" w:cs="Arial"/>
              </w:rPr>
            </w:pPr>
          </w:p>
          <w:p w14:paraId="6B235E8C" w14:textId="77777777" w:rsidR="007A1DD7" w:rsidRDefault="007A1DD7" w:rsidP="007A1DD7">
            <w:pPr>
              <w:pStyle w:val="ListParagraph"/>
              <w:numPr>
                <w:ilvl w:val="0"/>
                <w:numId w:val="6"/>
              </w:numPr>
              <w:rPr>
                <w:rFonts w:ascii="Arial" w:hAnsi="Arial" w:cs="Arial"/>
              </w:rPr>
            </w:pPr>
            <w:r>
              <w:rPr>
                <w:rFonts w:ascii="Arial" w:hAnsi="Arial" w:cs="Arial"/>
              </w:rPr>
              <w:t>There is an opportunity to develop the explicit sharing of lesson sequences with students, not just linking backwards to previous knowledge but in anticipation of the knowledge yet to be developed.</w:t>
            </w:r>
          </w:p>
          <w:p w14:paraId="3FA4FB2C" w14:textId="77777777" w:rsidR="007A1DD7" w:rsidRDefault="007A1DD7" w:rsidP="007A1DD7">
            <w:pPr>
              <w:pStyle w:val="ListParagraph"/>
              <w:numPr>
                <w:ilvl w:val="0"/>
                <w:numId w:val="6"/>
              </w:numPr>
              <w:rPr>
                <w:rFonts w:ascii="Arial" w:hAnsi="Arial" w:cs="Arial"/>
              </w:rPr>
            </w:pPr>
            <w:r>
              <w:rPr>
                <w:rFonts w:ascii="Arial" w:hAnsi="Arial" w:cs="Arial"/>
              </w:rPr>
              <w:t xml:space="preserve">There is also an opportunity to continue to develop the delivery and assessment of disciplinary knowledge in the context of substantive knowledge, an area already identified by the </w:t>
            </w:r>
            <w:r w:rsidR="007126A7">
              <w:rPr>
                <w:rFonts w:ascii="Arial" w:hAnsi="Arial" w:cs="Arial"/>
              </w:rPr>
              <w:t>subject leader.</w:t>
            </w:r>
          </w:p>
          <w:p w14:paraId="72E29F1E" w14:textId="1076FBC2" w:rsidR="008C0A5F" w:rsidRPr="007A1DD7" w:rsidRDefault="008C0A5F" w:rsidP="008C0A5F">
            <w:pPr>
              <w:pStyle w:val="ListParagraph"/>
              <w:rPr>
                <w:rFonts w:ascii="Arial" w:hAnsi="Arial" w:cs="Arial"/>
              </w:rPr>
            </w:pPr>
          </w:p>
        </w:tc>
      </w:tr>
    </w:tbl>
    <w:p w14:paraId="72E29F20" w14:textId="77777777" w:rsidR="008E53FF" w:rsidRPr="006A4398" w:rsidRDefault="008E53FF" w:rsidP="00BD46C5">
      <w:pPr>
        <w:rPr>
          <w:rFonts w:ascii="Arial" w:hAnsi="Arial" w:cs="Arial"/>
          <w:b/>
        </w:rPr>
      </w:pPr>
    </w:p>
    <w:sectPr w:rsidR="008E53FF" w:rsidRPr="006A4398" w:rsidSect="00E328C6">
      <w:headerReference w:type="default" r:id="rId9"/>
      <w:footerReference w:type="default" r:id="rId10"/>
      <w:pgSz w:w="11906" w:h="16838"/>
      <w:pgMar w:top="1985" w:right="1440" w:bottom="993" w:left="1440" w:header="708" w:footer="708"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9F27" w14:textId="77777777" w:rsidR="00673EFD" w:rsidRDefault="00673EFD" w:rsidP="008E557D">
      <w:pPr>
        <w:spacing w:after="0" w:line="240" w:lineRule="auto"/>
      </w:pPr>
      <w:r>
        <w:separator/>
      </w:r>
    </w:p>
  </w:endnote>
  <w:endnote w:type="continuationSeparator" w:id="0">
    <w:p w14:paraId="72E29F28" w14:textId="77777777" w:rsidR="00673EFD" w:rsidRDefault="00673EFD" w:rsidP="008E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9F2A" w14:textId="77777777" w:rsidR="006C47EB" w:rsidRDefault="006C47EB">
    <w:pPr>
      <w:pStyle w:val="Footer"/>
    </w:pPr>
    <w:r>
      <w:t>Lancashire County Council – Secondary 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9F25" w14:textId="77777777" w:rsidR="00673EFD" w:rsidRDefault="00673EFD" w:rsidP="008E557D">
      <w:pPr>
        <w:spacing w:after="0" w:line="240" w:lineRule="auto"/>
      </w:pPr>
      <w:r>
        <w:separator/>
      </w:r>
    </w:p>
  </w:footnote>
  <w:footnote w:type="continuationSeparator" w:id="0">
    <w:p w14:paraId="72E29F26" w14:textId="77777777" w:rsidR="00673EFD" w:rsidRDefault="00673EFD" w:rsidP="008E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9F29" w14:textId="77777777" w:rsidR="008A3F7E" w:rsidRDefault="002D40F5">
    <w:pPr>
      <w:pStyle w:val="Header"/>
    </w:pPr>
    <w:r>
      <w:rPr>
        <w:rFonts w:ascii="Arial" w:hAnsi="Arial" w:cs="Arial"/>
        <w:b/>
        <w:noProof/>
        <w:sz w:val="24"/>
        <w:lang w:eastAsia="en-GB"/>
      </w:rPr>
      <w:drawing>
        <wp:anchor distT="0" distB="0" distL="114300" distR="114300" simplePos="0" relativeHeight="251657216" behindDoc="1" locked="0" layoutInCell="1" allowOverlap="1" wp14:anchorId="72E29F2B" wp14:editId="72E29F2C">
          <wp:simplePos x="0" y="0"/>
          <wp:positionH relativeFrom="column">
            <wp:posOffset>4524375</wp:posOffset>
          </wp:positionH>
          <wp:positionV relativeFrom="page">
            <wp:posOffset>257175</wp:posOffset>
          </wp:positionV>
          <wp:extent cx="1719580" cy="864870"/>
          <wp:effectExtent l="0" t="0" r="0" b="0"/>
          <wp:wrapThrough wrapText="bothSides">
            <wp:wrapPolygon edited="0">
              <wp:start x="0" y="0"/>
              <wp:lineTo x="0" y="20934"/>
              <wp:lineTo x="21297" y="20934"/>
              <wp:lineTo x="212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580"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0C7"/>
    <w:multiLevelType w:val="hybridMultilevel"/>
    <w:tmpl w:val="02083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34D0B"/>
    <w:multiLevelType w:val="hybridMultilevel"/>
    <w:tmpl w:val="DEB6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40F"/>
    <w:multiLevelType w:val="hybridMultilevel"/>
    <w:tmpl w:val="1240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279E7"/>
    <w:multiLevelType w:val="hybridMultilevel"/>
    <w:tmpl w:val="BBAE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83A07"/>
    <w:multiLevelType w:val="hybridMultilevel"/>
    <w:tmpl w:val="410C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850B8"/>
    <w:multiLevelType w:val="hybridMultilevel"/>
    <w:tmpl w:val="EB86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7D"/>
    <w:rsid w:val="00015A35"/>
    <w:rsid w:val="000531EA"/>
    <w:rsid w:val="00063E05"/>
    <w:rsid w:val="000B1B13"/>
    <w:rsid w:val="000C6B2D"/>
    <w:rsid w:val="000F57EC"/>
    <w:rsid w:val="00155835"/>
    <w:rsid w:val="001619EB"/>
    <w:rsid w:val="00167A08"/>
    <w:rsid w:val="00183F45"/>
    <w:rsid w:val="00191AE2"/>
    <w:rsid w:val="00196042"/>
    <w:rsid w:val="001F6A27"/>
    <w:rsid w:val="00200971"/>
    <w:rsid w:val="002017E8"/>
    <w:rsid w:val="0020261F"/>
    <w:rsid w:val="002610CC"/>
    <w:rsid w:val="00274612"/>
    <w:rsid w:val="00284A81"/>
    <w:rsid w:val="002858E5"/>
    <w:rsid w:val="00290361"/>
    <w:rsid w:val="002D40F5"/>
    <w:rsid w:val="00331F04"/>
    <w:rsid w:val="00360128"/>
    <w:rsid w:val="00381F79"/>
    <w:rsid w:val="0039172B"/>
    <w:rsid w:val="003A603D"/>
    <w:rsid w:val="003E2CE8"/>
    <w:rsid w:val="004151DF"/>
    <w:rsid w:val="00473073"/>
    <w:rsid w:val="0047488E"/>
    <w:rsid w:val="00475E16"/>
    <w:rsid w:val="004827CA"/>
    <w:rsid w:val="00487A08"/>
    <w:rsid w:val="00490959"/>
    <w:rsid w:val="00492A83"/>
    <w:rsid w:val="004A4562"/>
    <w:rsid w:val="004B2A01"/>
    <w:rsid w:val="004B5273"/>
    <w:rsid w:val="004F2F50"/>
    <w:rsid w:val="005139D6"/>
    <w:rsid w:val="005167D3"/>
    <w:rsid w:val="00526C47"/>
    <w:rsid w:val="00532E2A"/>
    <w:rsid w:val="00594EE9"/>
    <w:rsid w:val="005958A2"/>
    <w:rsid w:val="00595F05"/>
    <w:rsid w:val="005A57B9"/>
    <w:rsid w:val="005C6DC2"/>
    <w:rsid w:val="005E064A"/>
    <w:rsid w:val="005F6665"/>
    <w:rsid w:val="00617D7B"/>
    <w:rsid w:val="006361D1"/>
    <w:rsid w:val="00664F47"/>
    <w:rsid w:val="00673EFD"/>
    <w:rsid w:val="006902E1"/>
    <w:rsid w:val="00690A26"/>
    <w:rsid w:val="006969EF"/>
    <w:rsid w:val="006A4398"/>
    <w:rsid w:val="006A6E82"/>
    <w:rsid w:val="006C0F14"/>
    <w:rsid w:val="006C47EB"/>
    <w:rsid w:val="00704782"/>
    <w:rsid w:val="007126A7"/>
    <w:rsid w:val="00716EBA"/>
    <w:rsid w:val="00740501"/>
    <w:rsid w:val="0074413C"/>
    <w:rsid w:val="0077379E"/>
    <w:rsid w:val="007A1DD7"/>
    <w:rsid w:val="008051D2"/>
    <w:rsid w:val="008216CB"/>
    <w:rsid w:val="0089011C"/>
    <w:rsid w:val="008918EC"/>
    <w:rsid w:val="008A3F7E"/>
    <w:rsid w:val="008B20EF"/>
    <w:rsid w:val="008C0A5F"/>
    <w:rsid w:val="008D5EC0"/>
    <w:rsid w:val="008E53FF"/>
    <w:rsid w:val="008E557D"/>
    <w:rsid w:val="008F4092"/>
    <w:rsid w:val="0092388C"/>
    <w:rsid w:val="00966E4A"/>
    <w:rsid w:val="009750BD"/>
    <w:rsid w:val="009917A6"/>
    <w:rsid w:val="009B3226"/>
    <w:rsid w:val="009B4C61"/>
    <w:rsid w:val="009F7E97"/>
    <w:rsid w:val="00A047D2"/>
    <w:rsid w:val="00A0688C"/>
    <w:rsid w:val="00A31A0A"/>
    <w:rsid w:val="00A45711"/>
    <w:rsid w:val="00AB3619"/>
    <w:rsid w:val="00AC39AA"/>
    <w:rsid w:val="00AD5C0D"/>
    <w:rsid w:val="00AD6684"/>
    <w:rsid w:val="00AE1F2F"/>
    <w:rsid w:val="00B112CC"/>
    <w:rsid w:val="00B313C8"/>
    <w:rsid w:val="00B5056D"/>
    <w:rsid w:val="00B61DBD"/>
    <w:rsid w:val="00B749C7"/>
    <w:rsid w:val="00B93DFB"/>
    <w:rsid w:val="00B947D0"/>
    <w:rsid w:val="00BB1B64"/>
    <w:rsid w:val="00BB51DB"/>
    <w:rsid w:val="00BC50A9"/>
    <w:rsid w:val="00BC7113"/>
    <w:rsid w:val="00BD46C5"/>
    <w:rsid w:val="00BE63FA"/>
    <w:rsid w:val="00BF4C5D"/>
    <w:rsid w:val="00BF736F"/>
    <w:rsid w:val="00C3673A"/>
    <w:rsid w:val="00C60836"/>
    <w:rsid w:val="00C61214"/>
    <w:rsid w:val="00CB58C4"/>
    <w:rsid w:val="00CB6B3E"/>
    <w:rsid w:val="00CB7938"/>
    <w:rsid w:val="00CE615B"/>
    <w:rsid w:val="00D044D6"/>
    <w:rsid w:val="00D05D27"/>
    <w:rsid w:val="00D2258A"/>
    <w:rsid w:val="00D256BE"/>
    <w:rsid w:val="00D3168C"/>
    <w:rsid w:val="00D44458"/>
    <w:rsid w:val="00D53858"/>
    <w:rsid w:val="00D85627"/>
    <w:rsid w:val="00D86C38"/>
    <w:rsid w:val="00DC6116"/>
    <w:rsid w:val="00DD48AC"/>
    <w:rsid w:val="00DD66E6"/>
    <w:rsid w:val="00DE6E34"/>
    <w:rsid w:val="00DF3EC2"/>
    <w:rsid w:val="00E02059"/>
    <w:rsid w:val="00E04C85"/>
    <w:rsid w:val="00E328C6"/>
    <w:rsid w:val="00E9252D"/>
    <w:rsid w:val="00EC0D5A"/>
    <w:rsid w:val="00ED23AA"/>
    <w:rsid w:val="00EF23A0"/>
    <w:rsid w:val="00EF35CE"/>
    <w:rsid w:val="00F6460E"/>
    <w:rsid w:val="00F91CEA"/>
    <w:rsid w:val="00FB2955"/>
    <w:rsid w:val="00FB686B"/>
    <w:rsid w:val="00FC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29E3D"/>
  <w15:docId w15:val="{542B18D4-C615-4837-9C3F-69E6BEFE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7D"/>
  </w:style>
  <w:style w:type="paragraph" w:styleId="Footer">
    <w:name w:val="footer"/>
    <w:basedOn w:val="Normal"/>
    <w:link w:val="FooterChar"/>
    <w:uiPriority w:val="99"/>
    <w:unhideWhenUsed/>
    <w:rsid w:val="008E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7D"/>
  </w:style>
  <w:style w:type="paragraph" w:styleId="BalloonText">
    <w:name w:val="Balloon Text"/>
    <w:basedOn w:val="Normal"/>
    <w:link w:val="BalloonTextChar"/>
    <w:uiPriority w:val="99"/>
    <w:semiHidden/>
    <w:unhideWhenUsed/>
    <w:rsid w:val="008E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7D"/>
    <w:rPr>
      <w:rFonts w:ascii="Tahoma" w:hAnsi="Tahoma" w:cs="Tahoma"/>
      <w:sz w:val="16"/>
      <w:szCs w:val="16"/>
    </w:rPr>
  </w:style>
  <w:style w:type="paragraph" w:styleId="ListParagraph">
    <w:name w:val="List Paragraph"/>
    <w:basedOn w:val="Normal"/>
    <w:uiPriority w:val="34"/>
    <w:qFormat/>
    <w:rsid w:val="008E53FF"/>
    <w:pPr>
      <w:ind w:left="720"/>
      <w:contextualSpacing/>
    </w:pPr>
  </w:style>
  <w:style w:type="table" w:styleId="TableGrid">
    <w:name w:val="Table Grid"/>
    <w:basedOn w:val="TableNormal"/>
    <w:uiPriority w:val="59"/>
    <w:rsid w:val="00BD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D46C5"/>
  </w:style>
  <w:style w:type="character" w:customStyle="1" w:styleId="d8e">
    <w:name w:val="_d8e"/>
    <w:basedOn w:val="DefaultParagraphFont"/>
    <w:rsid w:val="00BD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E6BE-0796-4631-8269-A61DDF15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Mentors</dc:creator>
  <cp:lastModifiedBy>E.Balmforth</cp:lastModifiedBy>
  <cp:revision>2</cp:revision>
  <dcterms:created xsi:type="dcterms:W3CDTF">2021-10-14T15:59:00Z</dcterms:created>
  <dcterms:modified xsi:type="dcterms:W3CDTF">2021-10-14T15:59:00Z</dcterms:modified>
</cp:coreProperties>
</file>