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27E95FC0">
        <w:tc>
          <w:tcPr>
            <w:tcW w:w="5382" w:type="dxa"/>
            <w:shd w:val="clear" w:color="auto" w:fill="BDD6EE" w:themeFill="accent1" w:themeFillTint="66"/>
          </w:tcPr>
          <w:p w14:paraId="425E38D5" w14:textId="782183E8" w:rsidR="008C5092" w:rsidRPr="00FB749C" w:rsidRDefault="00FB749C" w:rsidP="27E95FC0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7E95FC0">
              <w:rPr>
                <w:rFonts w:asciiTheme="majorHAnsi" w:hAnsiTheme="majorHAnsi" w:cstheme="majorBidi"/>
                <w:sz w:val="48"/>
                <w:szCs w:val="48"/>
              </w:rPr>
              <w:t xml:space="preserve">Year </w:t>
            </w:r>
            <w:r w:rsidR="1B47C11D" w:rsidRPr="27E95FC0">
              <w:rPr>
                <w:rFonts w:asciiTheme="majorHAnsi" w:hAnsiTheme="majorHAnsi" w:cstheme="majorBidi"/>
                <w:sz w:val="48"/>
                <w:szCs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2224B2D1" w:rsidR="00FB749C" w:rsidRPr="00FB749C" w:rsidRDefault="00FB749C" w:rsidP="27E95FC0">
            <w:pP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27E95FC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75A207DC" w:rsidRPr="27E95FC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Toy Aeroplane</w:t>
            </w:r>
          </w:p>
          <w:p w14:paraId="2BCB5A8E" w14:textId="562B35F5" w:rsidR="00FB749C" w:rsidRPr="00FB749C" w:rsidRDefault="00FB749C" w:rsidP="27E95FC0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7E95FC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Period: </w:t>
            </w:r>
            <w:r w:rsidR="00AB2292">
              <w:rPr>
                <w:rFonts w:asciiTheme="majorHAnsi" w:hAnsiTheme="majorHAnsi" w:cstheme="majorBidi"/>
                <w:sz w:val="28"/>
                <w:szCs w:val="28"/>
              </w:rPr>
              <w:t>Spring</w:t>
            </w:r>
            <w:r w:rsidRPr="27E95FC0">
              <w:rPr>
                <w:rFonts w:asciiTheme="majorHAnsi" w:hAnsiTheme="majorHAnsi" w:cstheme="majorBidi"/>
                <w:sz w:val="28"/>
                <w:szCs w:val="28"/>
              </w:rPr>
              <w:t xml:space="preserve"> </w:t>
            </w:r>
            <w:r w:rsidR="005D504A">
              <w:rPr>
                <w:rFonts w:asciiTheme="majorHAnsi" w:hAnsiTheme="majorHAnsi" w:cstheme="majorBidi"/>
                <w:sz w:val="28"/>
                <w:szCs w:val="28"/>
              </w:rPr>
              <w:t>2</w:t>
            </w:r>
          </w:p>
        </w:tc>
      </w:tr>
      <w:tr w:rsidR="008C5092" w:rsidRPr="00FB749C" w14:paraId="233E5594" w14:textId="77777777" w:rsidTr="27E95FC0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63508655" w14:textId="6427BA0E" w:rsidR="008C5092" w:rsidRPr="00FB749C" w:rsidRDefault="0946E9EB" w:rsidP="27E95FC0">
            <w:pPr>
              <w:spacing w:line="259" w:lineRule="auto"/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27E95FC0">
              <w:rPr>
                <w:rFonts w:asciiTheme="majorHAnsi" w:hAnsiTheme="majorHAnsi" w:cstheme="majorBidi"/>
                <w:color w:val="7B7B7B" w:themeColor="accent3" w:themeShade="BF"/>
              </w:rPr>
              <w:t>A focused practical task that introduces students to the workshop and get to grips with some of the hand tools and machinery.</w:t>
            </w:r>
            <w:r w:rsidR="6C9C3758" w:rsidRPr="27E95FC0">
              <w:rPr>
                <w:rFonts w:asciiTheme="majorHAnsi" w:hAnsiTheme="majorHAnsi" w:cstheme="majorBidi"/>
                <w:color w:val="7B7B7B" w:themeColor="accent3" w:themeShade="BF"/>
              </w:rPr>
              <w:t xml:space="preserve"> Students will be taught about health and safety, PPE and the importance of taking your time to achieve a </w:t>
            </w:r>
            <w:r w:rsidR="18918B80" w:rsidRPr="27E95FC0">
              <w:rPr>
                <w:rFonts w:asciiTheme="majorHAnsi" w:hAnsiTheme="majorHAnsi" w:cstheme="majorBidi"/>
                <w:color w:val="7B7B7B" w:themeColor="accent3" w:themeShade="BF"/>
              </w:rPr>
              <w:t>high-quality</w:t>
            </w:r>
            <w:r w:rsidR="6C9C3758" w:rsidRPr="27E95FC0">
              <w:rPr>
                <w:rFonts w:asciiTheme="majorHAnsi" w:hAnsiTheme="majorHAnsi" w:cstheme="majorBidi"/>
                <w:color w:val="7B7B7B" w:themeColor="accent3" w:themeShade="BF"/>
              </w:rPr>
              <w:t xml:space="preserve"> outcome</w:t>
            </w:r>
            <w:r w:rsidR="7FAD8BBA" w:rsidRPr="27E95FC0">
              <w:rPr>
                <w:rFonts w:asciiTheme="majorHAnsi" w:hAnsiTheme="majorHAnsi" w:cstheme="majorBidi"/>
                <w:color w:val="7B7B7B" w:themeColor="accent3" w:themeShade="BF"/>
              </w:rPr>
              <w:t>.</w:t>
            </w:r>
          </w:p>
        </w:tc>
      </w:tr>
      <w:tr w:rsidR="008C5092" w:rsidRPr="00FB749C" w14:paraId="46F94713" w14:textId="77777777" w:rsidTr="27E95FC0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5CED0D1" w14:textId="3655BED0" w:rsidR="008C5092" w:rsidRPr="00FB749C" w:rsidRDefault="08354410" w:rsidP="27E95FC0">
            <w:pPr>
              <w:rPr>
                <w:rFonts w:asciiTheme="majorHAnsi" w:hAnsiTheme="majorHAnsi" w:cstheme="majorBidi"/>
              </w:rPr>
            </w:pPr>
            <w:r w:rsidRPr="27E95FC0">
              <w:rPr>
                <w:rFonts w:asciiTheme="majorHAnsi" w:hAnsiTheme="majorHAnsi" w:cstheme="majorBidi"/>
              </w:rPr>
              <w:t xml:space="preserve">Students will </w:t>
            </w:r>
            <w:r w:rsidR="1EF821E4" w:rsidRPr="27E95FC0">
              <w:rPr>
                <w:rFonts w:asciiTheme="majorHAnsi" w:hAnsiTheme="majorHAnsi" w:cstheme="majorBidi"/>
              </w:rPr>
              <w:t>learn the tools and machinery in the workshop as well as health &amp; safety. Pup</w:t>
            </w:r>
            <w:r w:rsidR="69E601BB" w:rsidRPr="27E95FC0">
              <w:rPr>
                <w:rFonts w:asciiTheme="majorHAnsi" w:hAnsiTheme="majorHAnsi" w:cstheme="majorBidi"/>
              </w:rPr>
              <w:t>ils will have the opportunity to explore different categories of wood and plastics as well as joining and fixing methods</w:t>
            </w:r>
            <w:r w:rsidR="3CEF79AE" w:rsidRPr="27E95FC0">
              <w:rPr>
                <w:rFonts w:asciiTheme="majorHAnsi" w:hAnsiTheme="majorHAnsi" w:cstheme="majorBidi"/>
              </w:rPr>
              <w:t>.</w:t>
            </w:r>
          </w:p>
          <w:p w14:paraId="4F81996C" w14:textId="04685C9D" w:rsidR="27E95FC0" w:rsidRDefault="27E95FC0" w:rsidP="27E95FC0">
            <w:pPr>
              <w:rPr>
                <w:rFonts w:asciiTheme="majorHAnsi" w:hAnsiTheme="majorHAnsi" w:cstheme="majorBid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27E95FC0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27E95FC0">
              <w:tc>
                <w:tcPr>
                  <w:tcW w:w="2578" w:type="dxa"/>
                  <w:shd w:val="clear" w:color="auto" w:fill="auto"/>
                </w:tcPr>
                <w:p w14:paraId="733AF234" w14:textId="6C6E6489" w:rsidR="00B978BF" w:rsidRDefault="6DA51A5E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A</w:t>
                  </w:r>
                  <w:r w:rsidR="13252046" w:rsidRPr="27E95FC0">
                    <w:rPr>
                      <w:rFonts w:asciiTheme="majorHAnsi" w:hAnsiTheme="majorHAnsi" w:cstheme="majorBidi"/>
                      <w:b/>
                      <w:bCs/>
                    </w:rPr>
                    <w:t>pply</w:t>
                  </w:r>
                </w:p>
                <w:p w14:paraId="42225B63" w14:textId="0F55EACB" w:rsidR="2FEB2872" w:rsidRDefault="2FEB2872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Develop</w:t>
                  </w:r>
                </w:p>
                <w:p w14:paraId="773F7010" w14:textId="019A01C9" w:rsidR="00BE6CC9" w:rsidRDefault="0E109F96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Evaluate</w:t>
                  </w:r>
                </w:p>
                <w:p w14:paraId="6BAC5073" w14:textId="7C4A1A9D" w:rsidR="0E109F96" w:rsidRDefault="0E109F96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Complete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21B4D458" w14:textId="7C265371" w:rsidR="00B978BF" w:rsidRDefault="6829773F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Manufacturing</w:t>
                  </w:r>
                </w:p>
                <w:p w14:paraId="0C94A2F4" w14:textId="0781DD5A" w:rsidR="00B978BF" w:rsidRDefault="727792DE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Quality Control</w:t>
                  </w:r>
                </w:p>
                <w:p w14:paraId="360D6970" w14:textId="1BA51556" w:rsidR="00B978BF" w:rsidRDefault="727792DE" w:rsidP="27E95FC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7E95FC0">
                    <w:rPr>
                      <w:rFonts w:asciiTheme="majorHAnsi" w:hAnsiTheme="majorHAnsi" w:cstheme="majorBidi"/>
                      <w:b/>
                      <w:bCs/>
                    </w:rPr>
                    <w:t>Assembly</w:t>
                  </w:r>
                </w:p>
              </w:tc>
            </w:tr>
          </w:tbl>
          <w:p w14:paraId="3592210B" w14:textId="20CFBD20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745115E" w14:textId="2FBC45A3" w:rsidR="008C5092" w:rsidRPr="00FB749C" w:rsidRDefault="606DF0FB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 xml:space="preserve">Students will develop the following manufacturing </w:t>
            </w:r>
            <w:proofErr w:type="gramStart"/>
            <w:r w:rsidRPr="27E95FC0">
              <w:rPr>
                <w:rFonts w:asciiTheme="majorHAnsi" w:hAnsiTheme="majorHAnsi" w:cstheme="majorBidi"/>
                <w:b/>
                <w:bCs/>
              </w:rPr>
              <w:t>skills;</w:t>
            </w:r>
            <w:proofErr w:type="gramEnd"/>
          </w:p>
          <w:p w14:paraId="25C21F1F" w14:textId="36B47F40" w:rsidR="008C5092" w:rsidRPr="00FB749C" w:rsidRDefault="008C5092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71E81CF2" w14:textId="5EF4B78D" w:rsidR="008C5092" w:rsidRPr="00FB749C" w:rsidRDefault="752DC87B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Measuring &amp; marking</w:t>
            </w:r>
          </w:p>
          <w:p w14:paraId="6F90786E" w14:textId="3FFB046F" w:rsidR="008C5092" w:rsidRPr="00FB749C" w:rsidRDefault="008C5092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02AE9D47" w14:textId="699BC6DB" w:rsidR="008C5092" w:rsidRPr="00FB749C" w:rsidRDefault="606DF0FB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Cutting &amp; shaping</w:t>
            </w:r>
          </w:p>
          <w:p w14:paraId="3658C498" w14:textId="2D25C3AA" w:rsidR="008C5092" w:rsidRPr="00FB749C" w:rsidRDefault="008C5092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1B11EAF6" w14:textId="117A9E6A" w:rsidR="008C5092" w:rsidRPr="00FB749C" w:rsidRDefault="606DF0FB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Drilling</w:t>
            </w:r>
          </w:p>
          <w:p w14:paraId="0EFC2E09" w14:textId="21ED188E" w:rsidR="008C5092" w:rsidRPr="00FB749C" w:rsidRDefault="008C5092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</w:p>
          <w:p w14:paraId="4D761B11" w14:textId="69018DB9" w:rsidR="008C5092" w:rsidRPr="00FB749C" w:rsidRDefault="606DF0FB" w:rsidP="27E95FC0">
            <w:pPr>
              <w:spacing w:line="259" w:lineRule="auto"/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Finishing</w:t>
            </w:r>
            <w:r w:rsidR="7B945EDF" w:rsidRPr="27E95FC0">
              <w:rPr>
                <w:rFonts w:asciiTheme="majorHAnsi" w:hAnsiTheme="majorHAnsi" w:cstheme="majorBidi"/>
                <w:b/>
                <w:bCs/>
              </w:rPr>
              <w:t xml:space="preserve"> &amp; assembly</w:t>
            </w:r>
          </w:p>
        </w:tc>
      </w:tr>
      <w:tr w:rsidR="008C5092" w:rsidRPr="00FB749C" w14:paraId="598C0350" w14:textId="77777777" w:rsidTr="27E95FC0">
        <w:tc>
          <w:tcPr>
            <w:tcW w:w="5382" w:type="dxa"/>
          </w:tcPr>
          <w:p w14:paraId="64286CF5" w14:textId="1AF6A9BB" w:rsidR="008C5092" w:rsidRPr="00FB053D" w:rsidRDefault="008C5092" w:rsidP="27E95FC0">
            <w:pPr>
              <w:rPr>
                <w:rFonts w:asciiTheme="majorHAnsi" w:hAnsiTheme="majorHAnsi" w:cstheme="majorBidi"/>
                <w:b/>
                <w:bCs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</w:p>
          <w:p w14:paraId="7DE8D0A9" w14:textId="2380BA35" w:rsidR="008C5092" w:rsidRPr="00FB749C" w:rsidRDefault="008C5092" w:rsidP="27E95FC0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</w:p>
          <w:p w14:paraId="6799E58B" w14:textId="6BD3B289" w:rsidR="008C5092" w:rsidRPr="00FB749C" w:rsidRDefault="005D50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DT HOMEWORK CLUB – WEDNESDAY LUNCH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390A1B3D" w:rsidR="00FB053D" w:rsidRDefault="3312A27D" w:rsidP="27E95FC0">
            <w:pPr>
              <w:rPr>
                <w:rFonts w:asciiTheme="majorHAnsi" w:hAnsiTheme="majorHAnsi" w:cstheme="majorBidi"/>
              </w:rPr>
            </w:pPr>
            <w:r w:rsidRPr="27E95FC0">
              <w:rPr>
                <w:rFonts w:asciiTheme="majorHAnsi" w:hAnsiTheme="majorHAnsi" w:cstheme="majorBidi"/>
              </w:rPr>
              <w:t>Skimming and Scanning</w:t>
            </w:r>
          </w:p>
          <w:p w14:paraId="555CDB15" w14:textId="45EBA943" w:rsidR="3312A27D" w:rsidRDefault="3312A27D" w:rsidP="27E95FC0">
            <w:pPr>
              <w:rPr>
                <w:rFonts w:asciiTheme="majorHAnsi" w:hAnsiTheme="majorHAnsi" w:cstheme="majorBidi"/>
              </w:rPr>
            </w:pPr>
            <w:r w:rsidRPr="27E95FC0">
              <w:rPr>
                <w:rFonts w:asciiTheme="majorHAnsi" w:hAnsiTheme="majorHAnsi" w:cstheme="majorBidi"/>
              </w:rPr>
              <w:t>Reading class instructions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 w:rsidRPr="27E95FC0">
              <w:rPr>
                <w:rFonts w:asciiTheme="majorHAnsi" w:hAnsiTheme="majorHAnsi" w:cstheme="majorBidi"/>
                <w:b/>
                <w:bCs/>
              </w:rPr>
              <w:t>Wider Reading Opportunities/Links:</w:t>
            </w:r>
          </w:p>
          <w:p w14:paraId="3EF8601D" w14:textId="09DC99A2" w:rsidR="008C5092" w:rsidRPr="00FB749C" w:rsidRDefault="6EDC2BC8" w:rsidP="27E95FC0">
            <w:pPr>
              <w:spacing w:line="259" w:lineRule="auto"/>
              <w:rPr>
                <w:rFonts w:asciiTheme="majorHAnsi" w:hAnsiTheme="majorHAnsi" w:cstheme="majorBidi"/>
              </w:rPr>
            </w:pPr>
            <w:r w:rsidRPr="27E95FC0">
              <w:rPr>
                <w:rFonts w:asciiTheme="majorHAnsi" w:hAnsiTheme="majorHAnsi" w:cstheme="majorBidi"/>
              </w:rPr>
              <w:t>Knowledge Organisers</w:t>
            </w:r>
          </w:p>
        </w:tc>
      </w:tr>
      <w:tr w:rsidR="008C5092" w:rsidRPr="00FB749C" w14:paraId="5112E56F" w14:textId="77777777" w:rsidTr="27E95FC0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5D504A"/>
    <w:rsid w:val="008C5092"/>
    <w:rsid w:val="008F43BF"/>
    <w:rsid w:val="00AB2292"/>
    <w:rsid w:val="00AB5D17"/>
    <w:rsid w:val="00B978BF"/>
    <w:rsid w:val="00BE6CC9"/>
    <w:rsid w:val="00D12D6D"/>
    <w:rsid w:val="00D881BA"/>
    <w:rsid w:val="00E62389"/>
    <w:rsid w:val="00FB053D"/>
    <w:rsid w:val="00FB749C"/>
    <w:rsid w:val="01341055"/>
    <w:rsid w:val="01B0C2E7"/>
    <w:rsid w:val="02CFE0B6"/>
    <w:rsid w:val="02E1B983"/>
    <w:rsid w:val="053AA07C"/>
    <w:rsid w:val="063DD8D9"/>
    <w:rsid w:val="073B18E6"/>
    <w:rsid w:val="07D9A93A"/>
    <w:rsid w:val="08354410"/>
    <w:rsid w:val="0946E9EB"/>
    <w:rsid w:val="0950FB07"/>
    <w:rsid w:val="09ADC8DC"/>
    <w:rsid w:val="09E9FDC2"/>
    <w:rsid w:val="0D519BF6"/>
    <w:rsid w:val="0D7C5EBC"/>
    <w:rsid w:val="0E109F96"/>
    <w:rsid w:val="0EBD6EE5"/>
    <w:rsid w:val="0FC916EB"/>
    <w:rsid w:val="12FFCAD3"/>
    <w:rsid w:val="13252046"/>
    <w:rsid w:val="16376B95"/>
    <w:rsid w:val="17EFCD04"/>
    <w:rsid w:val="18918B80"/>
    <w:rsid w:val="196F0C57"/>
    <w:rsid w:val="1A56EACA"/>
    <w:rsid w:val="1B47C11D"/>
    <w:rsid w:val="1C082EC4"/>
    <w:rsid w:val="1EF821E4"/>
    <w:rsid w:val="1F2080C1"/>
    <w:rsid w:val="20823C16"/>
    <w:rsid w:val="20BC5122"/>
    <w:rsid w:val="2114ACC3"/>
    <w:rsid w:val="217A1E3C"/>
    <w:rsid w:val="21C90BCA"/>
    <w:rsid w:val="23F3F1E4"/>
    <w:rsid w:val="24BF3F49"/>
    <w:rsid w:val="258FC245"/>
    <w:rsid w:val="262C9BDA"/>
    <w:rsid w:val="264D8F5F"/>
    <w:rsid w:val="27E95FC0"/>
    <w:rsid w:val="288CB433"/>
    <w:rsid w:val="2992B06C"/>
    <w:rsid w:val="2A6B20EE"/>
    <w:rsid w:val="2B2E80CD"/>
    <w:rsid w:val="2C06F14F"/>
    <w:rsid w:val="2C18F574"/>
    <w:rsid w:val="2CCA512E"/>
    <w:rsid w:val="2DA2C1B0"/>
    <w:rsid w:val="2F3E9211"/>
    <w:rsid w:val="2FEB2872"/>
    <w:rsid w:val="3001F1F0"/>
    <w:rsid w:val="301B1A4D"/>
    <w:rsid w:val="3061A4D3"/>
    <w:rsid w:val="30F59E68"/>
    <w:rsid w:val="3312A27D"/>
    <w:rsid w:val="33994595"/>
    <w:rsid w:val="33EFB4C4"/>
    <w:rsid w:val="340A15AE"/>
    <w:rsid w:val="34D56313"/>
    <w:rsid w:val="36D802AA"/>
    <w:rsid w:val="3741B670"/>
    <w:rsid w:val="3749A3F6"/>
    <w:rsid w:val="3B0727A3"/>
    <w:rsid w:val="3B4C921D"/>
    <w:rsid w:val="3BD87839"/>
    <w:rsid w:val="3C1D1519"/>
    <w:rsid w:val="3CE8627E"/>
    <w:rsid w:val="3CEF79AE"/>
    <w:rsid w:val="402F5071"/>
    <w:rsid w:val="41CB20D2"/>
    <w:rsid w:val="422E9160"/>
    <w:rsid w:val="428C569D"/>
    <w:rsid w:val="45663222"/>
    <w:rsid w:val="45C3F75F"/>
    <w:rsid w:val="46DA2941"/>
    <w:rsid w:val="475FC7C0"/>
    <w:rsid w:val="48D7198D"/>
    <w:rsid w:val="49D632B7"/>
    <w:rsid w:val="4A976882"/>
    <w:rsid w:val="4F6BBA64"/>
    <w:rsid w:val="4F957947"/>
    <w:rsid w:val="5221F001"/>
    <w:rsid w:val="5622CFC3"/>
    <w:rsid w:val="5A075A97"/>
    <w:rsid w:val="5C537447"/>
    <w:rsid w:val="5D23F743"/>
    <w:rsid w:val="5DDDA52A"/>
    <w:rsid w:val="5F8B1509"/>
    <w:rsid w:val="606DF0FB"/>
    <w:rsid w:val="608AE4E3"/>
    <w:rsid w:val="6126E56A"/>
    <w:rsid w:val="635188F3"/>
    <w:rsid w:val="645E862C"/>
    <w:rsid w:val="646DD35D"/>
    <w:rsid w:val="6558D4E4"/>
    <w:rsid w:val="65CF8EB2"/>
    <w:rsid w:val="65FA568D"/>
    <w:rsid w:val="66CAD989"/>
    <w:rsid w:val="66F4A545"/>
    <w:rsid w:val="681ABD7A"/>
    <w:rsid w:val="6829773F"/>
    <w:rsid w:val="6866A9EA"/>
    <w:rsid w:val="689075A6"/>
    <w:rsid w:val="69E601BB"/>
    <w:rsid w:val="6A2C4607"/>
    <w:rsid w:val="6AA2FFD5"/>
    <w:rsid w:val="6B9E4AAC"/>
    <w:rsid w:val="6BC81668"/>
    <w:rsid w:val="6C9C3758"/>
    <w:rsid w:val="6D1D89FF"/>
    <w:rsid w:val="6DA51A5E"/>
    <w:rsid w:val="6EB95A60"/>
    <w:rsid w:val="6EDC2BC8"/>
    <w:rsid w:val="71B7B479"/>
    <w:rsid w:val="71F0FB22"/>
    <w:rsid w:val="727792DE"/>
    <w:rsid w:val="75289BE4"/>
    <w:rsid w:val="752DC87B"/>
    <w:rsid w:val="75686CE9"/>
    <w:rsid w:val="75A207DC"/>
    <w:rsid w:val="76944BAF"/>
    <w:rsid w:val="78A00DAB"/>
    <w:rsid w:val="7B945EDF"/>
    <w:rsid w:val="7FAD8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ec36fff7-63ed-43ef-9e4f-2d37d750b7db"/>
    <ds:schemaRef ds:uri="http://purl.org/dc/terms/"/>
    <ds:schemaRef ds:uri="http://purl.org/dc/dcmitype/"/>
    <ds:schemaRef ds:uri="http://schemas.openxmlformats.org/package/2006/metadata/core-properties"/>
    <ds:schemaRef ds:uri="86eb32c4-3dad-45d5-a9f3-4978cb784179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2023-02-10T12:39:00Z</dcterms:created>
  <dcterms:modified xsi:type="dcterms:W3CDTF">2023-02-10T12:39:00Z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