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4867"/>
        <w:gridCol w:w="6185"/>
      </w:tblGrid>
      <w:tr w:rsidR="008C5092" w:rsidRPr="00FB749C" w14:paraId="335DBFDF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425E38D5" w14:textId="72A86C79" w:rsidR="008C5092" w:rsidRPr="00F33118" w:rsidRDefault="00FB749C" w:rsidP="282DCEB5">
            <w:pPr>
              <w:jc w:val="center"/>
              <w:rPr>
                <w:rFonts w:ascii="Comic Sans MS" w:hAnsi="Comic Sans MS" w:cstheme="majorBidi"/>
                <w:sz w:val="20"/>
                <w:szCs w:val="20"/>
              </w:rPr>
            </w:pPr>
            <w:r w:rsidRPr="00F33118">
              <w:rPr>
                <w:rFonts w:ascii="Comic Sans MS" w:hAnsi="Comic Sans MS" w:cstheme="majorBidi"/>
                <w:sz w:val="20"/>
                <w:szCs w:val="20"/>
              </w:rPr>
              <w:t>Year __</w:t>
            </w:r>
            <w:r w:rsidR="004F02D5" w:rsidRPr="00F33118">
              <w:rPr>
                <w:rFonts w:ascii="Comic Sans MS" w:hAnsi="Comic Sans MS" w:cstheme="majorBidi"/>
                <w:sz w:val="20"/>
                <w:szCs w:val="20"/>
              </w:rPr>
              <w:t>1</w:t>
            </w:r>
            <w:r w:rsidR="00B34122" w:rsidRPr="00F33118">
              <w:rPr>
                <w:rFonts w:ascii="Comic Sans MS" w:hAnsi="Comic Sans MS" w:cstheme="majorBidi"/>
                <w:sz w:val="20"/>
                <w:szCs w:val="20"/>
              </w:rPr>
              <w:t>0</w:t>
            </w:r>
            <w:r w:rsidR="004F02D5" w:rsidRPr="00F33118">
              <w:rPr>
                <w:rFonts w:ascii="Comic Sans MS" w:hAnsi="Comic Sans MS" w:cstheme="majorBidi"/>
                <w:sz w:val="20"/>
                <w:szCs w:val="20"/>
              </w:rPr>
              <w:t xml:space="preserve"> </w:t>
            </w:r>
            <w:r w:rsidRPr="00F33118">
              <w:rPr>
                <w:rFonts w:ascii="Comic Sans MS" w:hAnsi="Comic Sans MS" w:cstheme="majorBidi"/>
                <w:sz w:val="20"/>
                <w:szCs w:val="20"/>
              </w:rPr>
              <w:t>_</w:t>
            </w:r>
          </w:p>
        </w:tc>
        <w:tc>
          <w:tcPr>
            <w:tcW w:w="5670" w:type="dxa"/>
            <w:shd w:val="clear" w:color="auto" w:fill="BDD6EE" w:themeFill="accent1" w:themeFillTint="66"/>
          </w:tcPr>
          <w:p w14:paraId="427DB4DC" w14:textId="604E4977" w:rsidR="004B302C" w:rsidRPr="00F33118" w:rsidRDefault="00FB749C" w:rsidP="004B302C">
            <w:pPr>
              <w:rPr>
                <w:rFonts w:ascii="Comic Sans MS" w:hAnsi="Comic Sans MS"/>
                <w:sz w:val="20"/>
                <w:szCs w:val="20"/>
                <w:u w:val="single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Topic: </w:t>
            </w:r>
            <w:r w:rsidR="004F02D5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Theme </w:t>
            </w:r>
            <w:r w:rsidR="00B34122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A relationships and families </w:t>
            </w:r>
            <w:r w:rsidR="004F02D5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AQA Spec A</w:t>
            </w:r>
          </w:p>
          <w:p w14:paraId="33B70C49" w14:textId="6B902CB1" w:rsidR="00FB749C" w:rsidRPr="00F33118" w:rsidRDefault="00FB749C" w:rsidP="00FB749C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105F1C3F" w14:textId="77777777" w:rsidR="00FB749C" w:rsidRPr="00F33118" w:rsidRDefault="00FB749C" w:rsidP="00FB749C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Period: </w:t>
            </w:r>
            <w:r w:rsidRPr="00F33118">
              <w:rPr>
                <w:rFonts w:ascii="Comic Sans MS" w:hAnsi="Comic Sans MS" w:cstheme="majorHAnsi"/>
                <w:sz w:val="20"/>
                <w:szCs w:val="20"/>
              </w:rPr>
              <w:t>Autumn 1</w:t>
            </w:r>
          </w:p>
          <w:p w14:paraId="2BCB5A8E" w14:textId="77777777" w:rsidR="00FB749C" w:rsidRPr="00F33118" w:rsidRDefault="00FB749C" w:rsidP="00FB749C">
            <w:pPr>
              <w:jc w:val="center"/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8C5092" w:rsidRPr="00FB749C" w14:paraId="233E5594" w14:textId="77777777" w:rsidTr="282DCEB5">
        <w:tc>
          <w:tcPr>
            <w:tcW w:w="11052" w:type="dxa"/>
            <w:gridSpan w:val="2"/>
          </w:tcPr>
          <w:p w14:paraId="2638BFCF" w14:textId="7BF27B7F" w:rsidR="008C5092" w:rsidRPr="00F33118" w:rsidRDefault="008C5092">
            <w:pPr>
              <w:rPr>
                <w:rFonts w:ascii="Comic Sans MS" w:hAnsi="Comic Sans MS" w:cstheme="majorHAnsi"/>
                <w:color w:val="7B7B7B" w:themeColor="accent3" w:themeShade="BF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Overview of topic:</w:t>
            </w:r>
            <w:r w:rsidR="004F02D5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Students consider </w:t>
            </w:r>
            <w:r w:rsidR="00B34122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moral and </w:t>
            </w:r>
            <w:r w:rsidR="004F02D5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philosophical issues</w:t>
            </w:r>
            <w:r w:rsidR="00B34122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linked to the family, gender, marriage and divorce and relationships. </w:t>
            </w:r>
            <w:r w:rsidR="004F02D5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  <w:r w:rsidR="0014002A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Students research different religious attitudes towards these issues and evaluate arguments about divorce, same sex marriage and gender equality in the church. </w:t>
            </w:r>
          </w:p>
          <w:p w14:paraId="6A233260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63508655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8C5092" w:rsidRPr="00FB749C" w14:paraId="46F94713" w14:textId="77777777" w:rsidTr="282DCEB5">
        <w:tc>
          <w:tcPr>
            <w:tcW w:w="5382" w:type="dxa"/>
            <w:shd w:val="clear" w:color="auto" w:fill="BDD6EE" w:themeFill="accent1" w:themeFillTint="66"/>
          </w:tcPr>
          <w:p w14:paraId="2965DB6B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Key</w:t>
            </w:r>
            <w:r w:rsidRPr="00F33118">
              <w:rPr>
                <w:rFonts w:ascii="Comic Sans MS" w:hAnsi="Comic Sans MS" w:cstheme="majorHAnsi"/>
                <w:sz w:val="20"/>
                <w:szCs w:val="20"/>
              </w:rPr>
              <w:t xml:space="preserve"> </w:t>
            </w: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knowledge:</w:t>
            </w:r>
          </w:p>
          <w:p w14:paraId="364E8352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 xml:space="preserve">Sex, </w:t>
            </w:r>
            <w:proofErr w:type="gramStart"/>
            <w:r w:rsidRPr="00F33118">
              <w:rPr>
                <w:rFonts w:ascii="Comic Sans MS" w:hAnsi="Comic Sans MS" w:cstheme="majorHAnsi"/>
                <w:sz w:val="20"/>
                <w:szCs w:val="20"/>
              </w:rPr>
              <w:t>relationships</w:t>
            </w:r>
            <w:proofErr w:type="gramEnd"/>
            <w:r w:rsidRPr="00F33118">
              <w:rPr>
                <w:rFonts w:ascii="Comic Sans MS" w:hAnsi="Comic Sans MS" w:cstheme="majorHAnsi"/>
                <w:sz w:val="20"/>
                <w:szCs w:val="20"/>
              </w:rPr>
              <w:t xml:space="preserve"> and contraception</w:t>
            </w:r>
          </w:p>
          <w:p w14:paraId="7D10B3BB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>Types of marriage and cohabitation</w:t>
            </w:r>
          </w:p>
          <w:p w14:paraId="04CC1010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>Religious attitudes to sexual matters</w:t>
            </w:r>
          </w:p>
          <w:p w14:paraId="2390E47F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>Symbolism within religious marriage ceremonies</w:t>
            </w:r>
          </w:p>
          <w:p w14:paraId="089A95D6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>Divorce</w:t>
            </w:r>
          </w:p>
          <w:p w14:paraId="2D72E0F9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 xml:space="preserve">Religious attitudes to divorce </w:t>
            </w:r>
          </w:p>
          <w:p w14:paraId="2B2D8D12" w14:textId="77777777" w:rsidR="0014002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 xml:space="preserve">Gender equality and prejudice </w:t>
            </w:r>
          </w:p>
          <w:p w14:paraId="6C0E7ACA" w14:textId="0D89B280" w:rsidR="0046494A" w:rsidRPr="00F33118" w:rsidRDefault="0014002A" w:rsidP="0014002A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>Religious attitudes to gender equality</w:t>
            </w:r>
          </w:p>
          <w:p w14:paraId="7A2DBAF0" w14:textId="6D50DB46" w:rsidR="008C5092" w:rsidRPr="00F33118" w:rsidRDefault="008C5092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Key vocabulary:</w:t>
            </w:r>
          </w:p>
          <w:p w14:paraId="51F8FD92" w14:textId="77777777" w:rsidR="00B978BF" w:rsidRPr="00F33118" w:rsidRDefault="00B978BF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2507"/>
              <w:gridCol w:w="2134"/>
            </w:tblGrid>
            <w:tr w:rsidR="00F33118" w:rsidRPr="00F33118" w14:paraId="2AFF7F64" w14:textId="77777777" w:rsidTr="001624EF">
              <w:tc>
                <w:tcPr>
                  <w:tcW w:w="2578" w:type="dxa"/>
                  <w:shd w:val="clear" w:color="auto" w:fill="2E74B5" w:themeFill="accent1" w:themeFillShade="BF"/>
                </w:tcPr>
                <w:p w14:paraId="26C6FB79" w14:textId="66710CE4" w:rsidR="00B978BF" w:rsidRPr="00F33118" w:rsidRDefault="00B978BF">
                  <w:pPr>
                    <w:rPr>
                      <w:rFonts w:ascii="Comic Sans MS" w:hAnsi="Comic Sans MS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3118">
                    <w:rPr>
                      <w:rFonts w:ascii="Comic Sans MS" w:hAnsi="Comic Sans MS" w:cstheme="majorHAnsi"/>
                      <w:b/>
                      <w:color w:val="FFFFFF" w:themeColor="background1"/>
                      <w:sz w:val="20"/>
                      <w:szCs w:val="20"/>
                    </w:rPr>
                    <w:t>Tier 2</w:t>
                  </w:r>
                </w:p>
              </w:tc>
              <w:tc>
                <w:tcPr>
                  <w:tcW w:w="2578" w:type="dxa"/>
                  <w:shd w:val="clear" w:color="auto" w:fill="2E74B5" w:themeFill="accent1" w:themeFillShade="BF"/>
                </w:tcPr>
                <w:p w14:paraId="3AAA1BF6" w14:textId="60B07A4E" w:rsidR="00B978BF" w:rsidRPr="00F33118" w:rsidRDefault="00B978BF">
                  <w:pPr>
                    <w:rPr>
                      <w:rFonts w:ascii="Comic Sans MS" w:hAnsi="Comic Sans MS" w:cstheme="majorHAnsi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F33118">
                    <w:rPr>
                      <w:rFonts w:ascii="Comic Sans MS" w:hAnsi="Comic Sans MS" w:cstheme="majorHAnsi"/>
                      <w:b/>
                      <w:color w:val="FFFFFF" w:themeColor="background1"/>
                      <w:sz w:val="20"/>
                      <w:szCs w:val="20"/>
                    </w:rPr>
                    <w:t>Tier 3</w:t>
                  </w:r>
                </w:p>
              </w:tc>
            </w:tr>
            <w:tr w:rsidR="00F33118" w:rsidRPr="00F33118" w14:paraId="3B92C02F" w14:textId="77777777" w:rsidTr="00BE6CC9">
              <w:tc>
                <w:tcPr>
                  <w:tcW w:w="2578" w:type="dxa"/>
                  <w:shd w:val="clear" w:color="auto" w:fill="auto"/>
                </w:tcPr>
                <w:p w14:paraId="733AF234" w14:textId="2206E364" w:rsidR="00B978BF" w:rsidRPr="00F33118" w:rsidRDefault="0014002A">
                  <w:pPr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</w:pP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Gender, stenotype, sex, contraception, cohabitation, marriage, divorce, polygamy, adultery, vows </w:t>
                  </w:r>
                </w:p>
                <w:p w14:paraId="773F7010" w14:textId="605B3D61" w:rsidR="00BE6CC9" w:rsidRPr="00F33118" w:rsidRDefault="0014002A">
                  <w:pPr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</w:pP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a</w:t>
                  </w:r>
                  <w:r w:rsidR="004B302C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nalyse, compare, </w:t>
                  </w: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evaluate,</w:t>
                  </w:r>
                  <w:r w:rsidR="004B302C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 </w:t>
                  </w: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evaluate,</w:t>
                  </w:r>
                  <w:r w:rsidR="004B302C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="00DC6123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assess ,</w:t>
                  </w:r>
                  <w:proofErr w:type="gramEnd"/>
                  <w:r w:rsidR="00DC6123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 outline, </w:t>
                  </w:r>
                  <w:r w:rsidR="004B302C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opinion, discuss</w:t>
                  </w:r>
                  <w:r w:rsidR="00255147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 issues</w:t>
                  </w: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, civil partnerships, homosexuality, bisexual, heterosexual, same sex marriage/partnerships. </w:t>
                  </w:r>
                </w:p>
                <w:p w14:paraId="26C6DCB2" w14:textId="2707F49A" w:rsidR="001624EF" w:rsidRPr="00F33118" w:rsidRDefault="001624EF">
                  <w:pPr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8" w:type="dxa"/>
                  <w:shd w:val="clear" w:color="auto" w:fill="auto"/>
                </w:tcPr>
                <w:p w14:paraId="360D6970" w14:textId="619F70C5" w:rsidR="00B978BF" w:rsidRPr="00F33118" w:rsidRDefault="00255147">
                  <w:pPr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</w:pP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belief</w:t>
                  </w:r>
                  <w:r w:rsidR="004B302C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, </w:t>
                  </w: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faith, </w:t>
                  </w:r>
                  <w:r w:rsidR="00DC6123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practice </w:t>
                  </w:r>
                  <w:r w:rsidR="00AF464D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>symbolism, society, sociology, theology, philosophy</w:t>
                  </w: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, psychology, </w:t>
                  </w:r>
                  <w:r w:rsidR="00DC6123"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sociology, </w:t>
                  </w:r>
                  <w:r w:rsidRPr="00F33118">
                    <w:rPr>
                      <w:rFonts w:ascii="Comic Sans MS" w:hAnsi="Comic Sans MS" w:cstheme="majorHAnsi"/>
                      <w:b/>
                      <w:sz w:val="20"/>
                      <w:szCs w:val="20"/>
                    </w:rPr>
                    <w:t xml:space="preserve">ethics, morals, conservative, fundamental extremism, literal and symbolic interpretations.  </w:t>
                  </w:r>
                </w:p>
              </w:tc>
            </w:tr>
          </w:tbl>
          <w:p w14:paraId="0C0C820B" w14:textId="77777777" w:rsidR="00B978BF" w:rsidRPr="00F33118" w:rsidRDefault="00B978BF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</w:p>
          <w:p w14:paraId="4769814C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3592210B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420A7412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BDD6EE" w:themeFill="accent1" w:themeFillTint="66"/>
          </w:tcPr>
          <w:p w14:paraId="26139E8C" w14:textId="784795CC" w:rsidR="008C5092" w:rsidRPr="00F33118" w:rsidRDefault="008C5092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Key skills:</w:t>
            </w:r>
            <w:r w:rsidR="008F43BF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</w:p>
          <w:p w14:paraId="6D4A9EEE" w14:textId="1BEDF6C2" w:rsidR="004F02D5" w:rsidRPr="00F33118" w:rsidRDefault="00DC6123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Exam skills- </w:t>
            </w:r>
            <w:proofErr w:type="gramStart"/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12 mark</w:t>
            </w:r>
            <w:proofErr w:type="gramEnd"/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questions- Justification, evaluation and interpretation.</w:t>
            </w:r>
          </w:p>
          <w:p w14:paraId="3088B9BE" w14:textId="0F335B89" w:rsidR="00DC6123" w:rsidRPr="00F33118" w:rsidRDefault="00DC6123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proofErr w:type="gramStart"/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5 mark</w:t>
            </w:r>
            <w:proofErr w:type="gramEnd"/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questions- knowledge, comparison and interpretation. </w:t>
            </w:r>
          </w:p>
          <w:p w14:paraId="4EBEFF74" w14:textId="401F0B3E" w:rsidR="004B302C" w:rsidRPr="00F33118" w:rsidRDefault="004B302C" w:rsidP="004B302C">
            <w:pPr>
              <w:rPr>
                <w:rStyle w:val="eop"/>
                <w:rFonts w:ascii="Comic Sans MS" w:hAnsi="Comic Sans MS" w:cs="Tahoma"/>
                <w:sz w:val="20"/>
                <w:szCs w:val="20"/>
              </w:rPr>
            </w:pPr>
            <w:r w:rsidRPr="00F33118">
              <w:rPr>
                <w:rStyle w:val="eop"/>
                <w:rFonts w:ascii="Comic Sans MS" w:hAnsi="Comic Sans MS" w:cs="Tahoma"/>
                <w:sz w:val="20"/>
                <w:szCs w:val="20"/>
              </w:rPr>
              <w:t xml:space="preserve">Students will be encouraged to think from different viewpoints and will be challenged to look at different cultures that make up society through a philosophical, </w:t>
            </w:r>
            <w:r w:rsidR="00AF464D" w:rsidRPr="00F33118">
              <w:rPr>
                <w:rStyle w:val="eop"/>
                <w:rFonts w:ascii="Comic Sans MS" w:hAnsi="Comic Sans MS" w:cs="Tahoma"/>
                <w:sz w:val="20"/>
                <w:szCs w:val="20"/>
              </w:rPr>
              <w:t>sociological,</w:t>
            </w:r>
            <w:r w:rsidRPr="00F33118">
              <w:rPr>
                <w:rStyle w:val="eop"/>
                <w:rFonts w:ascii="Comic Sans MS" w:hAnsi="Comic Sans MS" w:cs="Tahoma"/>
                <w:sz w:val="20"/>
                <w:szCs w:val="20"/>
              </w:rPr>
              <w:t xml:space="preserve"> and theological lens.  </w:t>
            </w:r>
          </w:p>
          <w:p w14:paraId="515BE53C" w14:textId="4A76B2A4" w:rsidR="008C5092" w:rsidRPr="00F33118" w:rsidRDefault="00255147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 xml:space="preserve">Student will use discussion and debating skills and develop their skills of oracy into written work. </w:t>
            </w:r>
          </w:p>
          <w:p w14:paraId="4D761B11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</w:tr>
      <w:tr w:rsidR="008C5092" w:rsidRPr="00FB749C" w14:paraId="598C0350" w14:textId="77777777" w:rsidTr="282DCEB5">
        <w:tc>
          <w:tcPr>
            <w:tcW w:w="5382" w:type="dxa"/>
          </w:tcPr>
          <w:p w14:paraId="64286CF5" w14:textId="2E4A2044" w:rsidR="008C5092" w:rsidRPr="00F33118" w:rsidRDefault="008C5092">
            <w:pPr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Co-curricular opportunities:</w:t>
            </w:r>
            <w:r w:rsidR="008F43BF"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</w:t>
            </w:r>
            <w:r w:rsidR="008F43BF" w:rsidRPr="00F33118"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(ASPIRE Day, </w:t>
            </w:r>
            <w:r w:rsidR="00FB053D" w:rsidRPr="00F33118"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>Careers, clubs, competitions etc)</w:t>
            </w:r>
          </w:p>
          <w:p w14:paraId="64D967C4" w14:textId="4ED41919" w:rsidR="00AF464D" w:rsidRPr="00F33118" w:rsidRDefault="00AF464D">
            <w:pPr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Careers links in introduction lesson when students will consider the purpose of studying different religions </w:t>
            </w:r>
            <w:proofErr w:type="gramStart"/>
            <w:r w:rsidRPr="00F33118"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>and  cultures</w:t>
            </w:r>
            <w:proofErr w:type="gramEnd"/>
            <w:r w:rsidRPr="00F33118">
              <w:rPr>
                <w:rFonts w:ascii="Comic Sans MS" w:hAnsi="Comic Sans MS" w:cstheme="majorHAnsi"/>
                <w:b/>
                <w:i/>
                <w:iCs/>
                <w:color w:val="A6A6A6" w:themeColor="background1" w:themeShade="A6"/>
                <w:sz w:val="20"/>
                <w:szCs w:val="20"/>
              </w:rPr>
              <w:t xml:space="preserve"> and how this may help them in different careers. This will also feature on a topic reflection in their books. </w:t>
            </w:r>
          </w:p>
          <w:p w14:paraId="7DE8D0A9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6799E58B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  <w:p w14:paraId="1607F2F8" w14:textId="77777777" w:rsidR="008C5092" w:rsidRPr="00F33118" w:rsidRDefault="008C5092">
            <w:pPr>
              <w:rPr>
                <w:rFonts w:ascii="Comic Sans MS" w:hAnsi="Comic Sans MS" w:cstheme="majorHAnsi"/>
                <w:sz w:val="20"/>
                <w:szCs w:val="20"/>
              </w:rPr>
            </w:pPr>
          </w:p>
        </w:tc>
        <w:tc>
          <w:tcPr>
            <w:tcW w:w="5670" w:type="dxa"/>
          </w:tcPr>
          <w:p w14:paraId="4A00D608" w14:textId="5EE210DE" w:rsidR="008C5092" w:rsidRPr="00F33118" w:rsidRDefault="008C5092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Key reading skills taught </w:t>
            </w:r>
            <w:r w:rsidRPr="00F33118">
              <w:rPr>
                <w:rFonts w:ascii="Comic Sans MS" w:hAnsi="Comic Sans MS" w:cstheme="majorHAnsi"/>
                <w:b/>
                <w:i/>
                <w:color w:val="7B7B7B" w:themeColor="accent3" w:themeShade="BF"/>
                <w:sz w:val="20"/>
                <w:szCs w:val="20"/>
              </w:rPr>
              <w:t>(clarify, question, summarise, predict)</w:t>
            </w: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and key texts:</w:t>
            </w:r>
          </w:p>
          <w:p w14:paraId="4AAA875B" w14:textId="5C854301" w:rsidR="00B60851" w:rsidRPr="00F33118" w:rsidRDefault="00DC6123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AQA Religious Studies Spec </w:t>
            </w:r>
            <w:proofErr w:type="gramStart"/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A</w:t>
            </w:r>
            <w:proofErr w:type="gramEnd"/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 xml:space="preserve"> Thematic studies and Christian and Muslim beliefs and practices. </w:t>
            </w:r>
          </w:p>
          <w:p w14:paraId="34801EBE" w14:textId="53E94A5A" w:rsidR="00AF464D" w:rsidRPr="00F33118" w:rsidRDefault="00DC6123">
            <w:pPr>
              <w:rPr>
                <w:rFonts w:ascii="Comic Sans MS" w:hAnsi="Comic Sans MS" w:cstheme="majorHAnsi"/>
                <w:b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</w:rPr>
              <w:t>https://www.bbc.co.uk/bitesize/subjects/zb48q6f</w:t>
            </w:r>
          </w:p>
          <w:p w14:paraId="4414B80C" w14:textId="21A82186" w:rsidR="00FB053D" w:rsidRPr="00F33118" w:rsidRDefault="00FB053D">
            <w:pPr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  <w:t>Wider Reading Opportunities/Links:</w:t>
            </w:r>
          </w:p>
          <w:p w14:paraId="4A1ADB7C" w14:textId="3ED45EE1" w:rsidR="00F33118" w:rsidRPr="00F33118" w:rsidRDefault="00F33118">
            <w:pPr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  <w:t>https://www.nypl.org/booksmore/recommendations/essential-feminism/teens</w:t>
            </w:r>
          </w:p>
          <w:p w14:paraId="5F50F1E1" w14:textId="7F908331" w:rsidR="0014002A" w:rsidRPr="0014002A" w:rsidRDefault="0014002A" w:rsidP="0014002A">
            <w:pPr>
              <w:shd w:val="clear" w:color="auto" w:fill="FFFFFF"/>
              <w:spacing w:after="100" w:afterAutospacing="1" w:line="540" w:lineRule="atLeast"/>
              <w:outlineLvl w:val="0"/>
              <w:rPr>
                <w:rFonts w:ascii="Comic Sans MS" w:eastAsia="Times New Roman" w:hAnsi="Comic Sans MS" w:cs="Times New Roman"/>
                <w:b/>
                <w:bCs/>
                <w:color w:val="0F1111"/>
                <w:kern w:val="36"/>
                <w:sz w:val="20"/>
                <w:szCs w:val="20"/>
                <w:lang w:eastAsia="en-GB"/>
              </w:rPr>
            </w:pPr>
            <w:r w:rsidRPr="0014002A">
              <w:rPr>
                <w:rFonts w:ascii="Comic Sans MS" w:eastAsia="Times New Roman" w:hAnsi="Comic Sans MS" w:cs="Times New Roman"/>
                <w:b/>
                <w:bCs/>
                <w:color w:val="0F1111"/>
                <w:kern w:val="36"/>
                <w:sz w:val="20"/>
                <w:szCs w:val="20"/>
                <w:lang w:eastAsia="en-GB"/>
              </w:rPr>
              <w:t>Gender Inequality. Religion &amp; Cultural Practices</w:t>
            </w:r>
            <w:r w:rsidRPr="00F33118">
              <w:rPr>
                <w:rFonts w:ascii="Comic Sans MS" w:eastAsia="Times New Roman" w:hAnsi="Comic Sans MS" w:cs="Times New Roman"/>
                <w:b/>
                <w:bCs/>
                <w:color w:val="0F1111"/>
                <w:kern w:val="36"/>
                <w:sz w:val="20"/>
                <w:szCs w:val="20"/>
                <w:lang w:eastAsia="en-GB"/>
              </w:rPr>
              <w:t>-</w:t>
            </w:r>
            <w:r w:rsidRPr="00F33118">
              <w:rPr>
                <w:rFonts w:ascii="Comic Sans MS" w:hAnsi="Comic Sans MS" w:cs="Arial"/>
                <w:color w:val="0F1111"/>
                <w:sz w:val="20"/>
                <w:szCs w:val="20"/>
                <w:shd w:val="clear" w:color="auto" w:fill="FFFFFF"/>
              </w:rPr>
              <w:t xml:space="preserve">Victor </w:t>
            </w:r>
            <w:proofErr w:type="spellStart"/>
            <w:r w:rsidRPr="00F33118">
              <w:rPr>
                <w:rFonts w:ascii="Comic Sans MS" w:hAnsi="Comic Sans MS" w:cs="Arial"/>
                <w:color w:val="0F1111"/>
                <w:sz w:val="20"/>
                <w:szCs w:val="20"/>
                <w:shd w:val="clear" w:color="auto" w:fill="FFFFFF"/>
              </w:rPr>
              <w:t>Mwila</w:t>
            </w:r>
            <w:proofErr w:type="spellEnd"/>
          </w:p>
          <w:p w14:paraId="3CC5C0E5" w14:textId="3E11B06F" w:rsidR="0014002A" w:rsidRPr="00F33118" w:rsidRDefault="0014002A" w:rsidP="00B60851">
            <w:pPr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</w:pPr>
            <w:r w:rsidRPr="00F33118">
              <w:rPr>
                <w:rFonts w:ascii="Comic Sans MS" w:hAnsi="Comic Sans MS" w:cstheme="majorHAnsi"/>
                <w:b/>
                <w:sz w:val="20"/>
                <w:szCs w:val="20"/>
                <w:u w:val="single"/>
              </w:rPr>
              <w:t>Diary of a confused feminist- Kate Weston</w:t>
            </w:r>
          </w:p>
          <w:p w14:paraId="6EE490AF" w14:textId="7D4E37F6" w:rsidR="00961576" w:rsidRPr="00F33118" w:rsidRDefault="00255147" w:rsidP="00B60851">
            <w:pPr>
              <w:rPr>
                <w:rFonts w:ascii="Comic Sans MS" w:hAnsi="Comic Sans MS" w:cstheme="majorHAnsi"/>
                <w:sz w:val="20"/>
                <w:szCs w:val="20"/>
              </w:rPr>
            </w:pPr>
            <w:hyperlink r:id="rId8" w:history="1">
              <w:r w:rsidRPr="00F33118">
                <w:rPr>
                  <w:rStyle w:val="Hyperlink"/>
                  <w:rFonts w:ascii="Comic Sans MS" w:hAnsi="Comic Sans MS" w:cstheme="majorHAnsi"/>
                  <w:sz w:val="20"/>
                  <w:szCs w:val="20"/>
                </w:rPr>
                <w:t>https://www.bbc.co.uk/bitesize/guides/zwxm97h/revision/3</w:t>
              </w:r>
            </w:hyperlink>
          </w:p>
          <w:p w14:paraId="3EF8601D" w14:textId="70126886" w:rsidR="00255147" w:rsidRPr="00F33118" w:rsidRDefault="00255147" w:rsidP="00B60851">
            <w:pPr>
              <w:rPr>
                <w:rFonts w:ascii="Comic Sans MS" w:hAnsi="Comic Sans MS" w:cstheme="majorHAnsi"/>
                <w:sz w:val="20"/>
                <w:szCs w:val="20"/>
              </w:rPr>
            </w:pPr>
            <w:r w:rsidRPr="00F33118">
              <w:rPr>
                <w:rFonts w:ascii="Comic Sans MS" w:hAnsi="Comic Sans MS" w:cstheme="majorHAnsi"/>
                <w:sz w:val="20"/>
                <w:szCs w:val="20"/>
              </w:rPr>
              <w:t>https://www.bbc.co.uk/bitesize/topics/zkdk382</w:t>
            </w:r>
          </w:p>
        </w:tc>
      </w:tr>
      <w:tr w:rsidR="008C5092" w:rsidRPr="00FB749C" w14:paraId="5112E56F" w14:textId="77777777" w:rsidTr="282DCEB5">
        <w:tc>
          <w:tcPr>
            <w:tcW w:w="11052" w:type="dxa"/>
            <w:gridSpan w:val="2"/>
            <w:shd w:val="clear" w:color="auto" w:fill="BDD6EE" w:themeFill="accent1" w:themeFillTint="66"/>
          </w:tcPr>
          <w:p w14:paraId="6B67F88A" w14:textId="77777777" w:rsidR="008C5092" w:rsidRPr="00FB749C" w:rsidRDefault="008C5092">
            <w:pPr>
              <w:rPr>
                <w:rFonts w:asciiTheme="majorHAnsi" w:hAnsiTheme="majorHAnsi" w:cstheme="majorHAnsi"/>
                <w:b/>
              </w:rPr>
            </w:pPr>
            <w:r w:rsidRPr="00FB749C">
              <w:rPr>
                <w:rFonts w:asciiTheme="majorHAnsi" w:hAnsiTheme="majorHAnsi" w:cstheme="majorHAnsi"/>
                <w:b/>
              </w:rPr>
              <w:t>How can I use this information at home?</w:t>
            </w:r>
          </w:p>
          <w:p w14:paraId="0EB6B63B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Conversation starters with your children to discuss their learning</w:t>
            </w:r>
          </w:p>
          <w:p w14:paraId="12799EB9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lastRenderedPageBreak/>
              <w:t>Support your child in carry</w:t>
            </w:r>
            <w:r w:rsidR="00FB749C">
              <w:rPr>
                <w:rFonts w:asciiTheme="majorHAnsi" w:hAnsiTheme="majorHAnsi" w:cstheme="majorHAnsi"/>
              </w:rPr>
              <w:t>i</w:t>
            </w:r>
            <w:r w:rsidRPr="00FB749C">
              <w:rPr>
                <w:rFonts w:asciiTheme="majorHAnsi" w:hAnsiTheme="majorHAnsi" w:cstheme="majorHAnsi"/>
              </w:rPr>
              <w:t>ng out independent research around the topic</w:t>
            </w:r>
          </w:p>
          <w:p w14:paraId="5ECAD5E7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 xml:space="preserve">Visit your local library (or </w:t>
            </w:r>
            <w:proofErr w:type="spellStart"/>
            <w:r w:rsidRPr="00FB749C">
              <w:rPr>
                <w:rFonts w:asciiTheme="majorHAnsi" w:hAnsiTheme="majorHAnsi" w:cstheme="majorHAnsi"/>
              </w:rPr>
              <w:t>BorrowBox</w:t>
            </w:r>
            <w:proofErr w:type="spellEnd"/>
            <w:r w:rsidRPr="00FB749C">
              <w:rPr>
                <w:rFonts w:asciiTheme="majorHAnsi" w:hAnsiTheme="majorHAnsi" w:cstheme="majorHAnsi"/>
              </w:rPr>
              <w:t>), museums, or other locations to explore the topic</w:t>
            </w:r>
          </w:p>
          <w:p w14:paraId="267CEFB0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Promote books/other texts that explore this topic (see reading section)</w:t>
            </w:r>
          </w:p>
          <w:p w14:paraId="2203F494" w14:textId="77777777" w:rsidR="008C5092" w:rsidRPr="00FB749C" w:rsidRDefault="008C5092" w:rsidP="008C5092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 w:cstheme="majorHAnsi"/>
              </w:rPr>
            </w:pPr>
            <w:r w:rsidRPr="00FB749C">
              <w:rPr>
                <w:rFonts w:asciiTheme="majorHAnsi" w:hAnsiTheme="majorHAnsi" w:cstheme="majorHAnsi"/>
              </w:rPr>
              <w:t>Help your child to learn the key vocabulary</w:t>
            </w:r>
          </w:p>
          <w:p w14:paraId="0CCA89BE" w14:textId="77777777" w:rsidR="008C5092" w:rsidRPr="00FB749C" w:rsidRDefault="008C5092">
            <w:pPr>
              <w:rPr>
                <w:rFonts w:asciiTheme="majorHAnsi" w:hAnsiTheme="majorHAnsi" w:cstheme="majorHAnsi"/>
              </w:rPr>
            </w:pPr>
          </w:p>
        </w:tc>
      </w:tr>
    </w:tbl>
    <w:p w14:paraId="5CF8C1FE" w14:textId="77777777" w:rsidR="00242B8E" w:rsidRDefault="00242B8E"/>
    <w:sectPr w:rsidR="00242B8E" w:rsidSect="008C509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9718D"/>
    <w:multiLevelType w:val="hybridMultilevel"/>
    <w:tmpl w:val="D6FCFC92"/>
    <w:lvl w:ilvl="0" w:tplc="1D664B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4094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046A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EC04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745A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C7B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E84C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0B0B4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E60E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ED31FF"/>
    <w:multiLevelType w:val="hybridMultilevel"/>
    <w:tmpl w:val="82B847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E5590"/>
    <w:multiLevelType w:val="hybridMultilevel"/>
    <w:tmpl w:val="7E2263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092"/>
    <w:rsid w:val="0014002A"/>
    <w:rsid w:val="001624EF"/>
    <w:rsid w:val="00242B8E"/>
    <w:rsid w:val="00255147"/>
    <w:rsid w:val="0046494A"/>
    <w:rsid w:val="004B302C"/>
    <w:rsid w:val="004F02D5"/>
    <w:rsid w:val="008C5092"/>
    <w:rsid w:val="008F43BF"/>
    <w:rsid w:val="00961576"/>
    <w:rsid w:val="00AD6B06"/>
    <w:rsid w:val="00AF464D"/>
    <w:rsid w:val="00B34122"/>
    <w:rsid w:val="00B60851"/>
    <w:rsid w:val="00B978BF"/>
    <w:rsid w:val="00BE6CC9"/>
    <w:rsid w:val="00D12D6D"/>
    <w:rsid w:val="00DC6123"/>
    <w:rsid w:val="00F33118"/>
    <w:rsid w:val="00FB053D"/>
    <w:rsid w:val="00FB749C"/>
    <w:rsid w:val="282DCEB5"/>
    <w:rsid w:val="4B66D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16C01"/>
  <w15:chartTrackingRefBased/>
  <w15:docId w15:val="{B599A31F-C878-41FC-80DB-78EDE48E9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608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8C50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C5092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C50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C5092"/>
    <w:pPr>
      <w:ind w:left="720"/>
      <w:contextualSpacing/>
    </w:pPr>
  </w:style>
  <w:style w:type="character" w:customStyle="1" w:styleId="eop">
    <w:name w:val="eop"/>
    <w:basedOn w:val="DefaultParagraphFont"/>
    <w:rsid w:val="004B302C"/>
  </w:style>
  <w:style w:type="character" w:styleId="Hyperlink">
    <w:name w:val="Hyperlink"/>
    <w:basedOn w:val="DefaultParagraphFont"/>
    <w:uiPriority w:val="99"/>
    <w:unhideWhenUsed/>
    <w:rsid w:val="00AF4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464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64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B608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6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182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3046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334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1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guides/zwxm97h/revision/3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9FF985E831F14AB564F09E3FFDF8D0" ma:contentTypeVersion="12" ma:contentTypeDescription="Create a new document." ma:contentTypeScope="" ma:versionID="c43342a50b9e2b3ff6ee34109396cf68">
  <xsd:schema xmlns:xsd="http://www.w3.org/2001/XMLSchema" xmlns:xs="http://www.w3.org/2001/XMLSchema" xmlns:p="http://schemas.microsoft.com/office/2006/metadata/properties" xmlns:ns2="ec36fff7-63ed-43ef-9e4f-2d37d750b7db" xmlns:ns3="86eb32c4-3dad-45d5-a9f3-4978cb784179" targetNamespace="http://schemas.microsoft.com/office/2006/metadata/properties" ma:root="true" ma:fieldsID="3409d8f79b289e9f1da002e3d820b453" ns2:_="" ns3:_="">
    <xsd:import namespace="ec36fff7-63ed-43ef-9e4f-2d37d750b7db"/>
    <xsd:import namespace="86eb32c4-3dad-45d5-a9f3-4978cb7841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36fff7-63ed-43ef-9e4f-2d37d750b7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b32c4-3dad-45d5-a9f3-4978cb7841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F345ED-E82B-4EB2-AB04-29C05504704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606FF6-D855-42A5-ABF1-2E090649B947}">
  <ds:schemaRefs>
    <ds:schemaRef ds:uri="http://purl.org/dc/dcmitype/"/>
    <ds:schemaRef ds:uri="http://purl.org/dc/elements/1.1/"/>
    <ds:schemaRef ds:uri="http://schemas.microsoft.com/office/2006/documentManagement/types"/>
    <ds:schemaRef ds:uri="http://www.w3.org/XML/1998/namespace"/>
    <ds:schemaRef ds:uri="b79c1256-7b29-4548-950e-8940c3b912d0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8e64eebd-ca18-44bb-bb83-139d464f67af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ACE19171-186D-4FC5-9B2B-AC33C3104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36fff7-63ed-43ef-9e4f-2d37d750b7db"/>
    <ds:schemaRef ds:uri="86eb32c4-3dad-45d5-a9f3-4978cb7841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Rachel</dc:creator>
  <cp:keywords/>
  <dc:description/>
  <cp:lastModifiedBy>Viki Hill</cp:lastModifiedBy>
  <cp:revision>2</cp:revision>
  <dcterms:created xsi:type="dcterms:W3CDTF">2022-09-01T17:26:00Z</dcterms:created>
  <dcterms:modified xsi:type="dcterms:W3CDTF">2022-09-01T17:26:00Z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0x0101005D9FF985E831F14AB564F09E3FFDF8D0</vt:lpwstr>
  </property>
</Properties>
</file>