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bCs/>
        </w:rPr>
      </w:pPr>
      <w:r>
        <w:rPr>
          <w:b/>
          <w:bCs/>
        </w:rPr>
        <w:t>Year 11 – Week beginning 18</w:t>
      </w:r>
      <w:r>
        <w:rPr>
          <w:b/>
          <w:bCs/>
          <w:vertAlign w:val="superscript"/>
        </w:rPr>
        <w:t>th</w:t>
      </w:r>
      <w:r>
        <w:rPr>
          <w:b/>
          <w:bCs/>
        </w:rPr>
        <w:t xml:space="preserve"> May</w:t>
      </w:r>
    </w:p>
    <w:p>
      <w:pPr>
        <w:pStyle w:val="NormalWeb"/>
        <w:shd w:val="clear" w:color="auto" w:fill="FFFFFF"/>
        <w:spacing w:before="0" w:beforeAutospacing="0" w:after="160" w:afterAutospacing="0"/>
        <w:rPr>
          <w:rFonts w:asciiTheme="minorHAnsi" w:hAnsiTheme="minorHAnsi" w:cstheme="minorHAnsi"/>
          <w:color w:val="707070"/>
          <w:sz w:val="21"/>
          <w:szCs w:val="21"/>
        </w:rPr>
      </w:pPr>
      <w:r>
        <w:rPr>
          <w:rFonts w:asciiTheme="minorHAnsi" w:hAnsiTheme="minorHAnsi" w:cstheme="minorHAnsi"/>
          <w:b/>
          <w:bCs/>
          <w:color w:val="707070"/>
          <w:sz w:val="22"/>
          <w:szCs w:val="22"/>
        </w:rPr>
        <w:t>Please look at the PSHE resources – </w:t>
      </w:r>
      <w:hyperlink r:id="rId8" w:history="1">
        <w:r>
          <w:rPr>
            <w:rStyle w:val="Hyperlink"/>
            <w:rFonts w:asciiTheme="minorHAnsi" w:hAnsiTheme="minorHAnsi" w:cstheme="minorHAnsi"/>
            <w:color w:val="0563C1"/>
            <w:sz w:val="22"/>
            <w:szCs w:val="22"/>
          </w:rPr>
          <w:t>https://www.waltonledale.lancs.sch.uk/curriculum/what-are-students-learning-now/pshe</w:t>
        </w:r>
      </w:hyperlink>
    </w:p>
    <w:p>
      <w:pPr>
        <w:pStyle w:val="NormalWeb"/>
        <w:shd w:val="clear" w:color="auto" w:fill="FFFFFF"/>
        <w:spacing w:before="0" w:beforeAutospacing="0" w:after="160" w:afterAutospacing="0"/>
        <w:rPr>
          <w:rFonts w:asciiTheme="minorHAnsi" w:hAnsiTheme="minorHAnsi" w:cstheme="minorHAnsi"/>
          <w:color w:val="707070"/>
          <w:sz w:val="21"/>
          <w:szCs w:val="21"/>
        </w:rPr>
      </w:pPr>
      <w:r>
        <w:rPr>
          <w:rFonts w:asciiTheme="minorHAnsi" w:hAnsiTheme="minorHAnsi" w:cstheme="minorHAnsi"/>
          <w:b/>
          <w:bCs/>
          <w:color w:val="707070"/>
          <w:sz w:val="22"/>
          <w:szCs w:val="22"/>
        </w:rPr>
        <w:t>Please look at the Thought for the Week – Kindness – </w:t>
      </w:r>
      <w:hyperlink r:id="rId9" w:history="1">
        <w:r>
          <w:rPr>
            <w:rStyle w:val="Hyperlink"/>
            <w:rFonts w:asciiTheme="minorHAnsi" w:hAnsiTheme="minorHAnsi" w:cstheme="minorHAnsi"/>
            <w:color w:val="0563C1"/>
            <w:sz w:val="22"/>
            <w:szCs w:val="22"/>
          </w:rPr>
          <w:t>https://www.waltonledale.lancs.sch.uk/curriculum/thought-for-the-week</w:t>
        </w:r>
      </w:hyperlink>
    </w:p>
    <w:p>
      <w:pPr>
        <w:pStyle w:val="NormalWeb"/>
        <w:shd w:val="clear" w:color="auto" w:fill="FFFFFF"/>
        <w:spacing w:before="0" w:beforeAutospacing="0" w:after="160" w:afterAutospacing="0"/>
        <w:rPr>
          <w:rFonts w:asciiTheme="minorHAnsi" w:hAnsiTheme="minorHAnsi" w:cstheme="minorHAnsi"/>
          <w:color w:val="707070"/>
          <w:sz w:val="21"/>
          <w:szCs w:val="21"/>
        </w:rPr>
      </w:pPr>
      <w:r>
        <w:rPr>
          <w:rFonts w:asciiTheme="minorHAnsi" w:hAnsiTheme="minorHAnsi" w:cstheme="minorHAnsi"/>
          <w:b/>
          <w:bCs/>
          <w:color w:val="707070"/>
          <w:sz w:val="22"/>
          <w:szCs w:val="22"/>
        </w:rPr>
        <w:t xml:space="preserve">This week is an update to previous weeks so please look back at other </w:t>
      </w:r>
      <w:proofErr w:type="gramStart"/>
      <w:r>
        <w:rPr>
          <w:rFonts w:asciiTheme="minorHAnsi" w:hAnsiTheme="minorHAnsi" w:cstheme="minorHAnsi"/>
          <w:b/>
          <w:bCs/>
          <w:color w:val="707070"/>
          <w:sz w:val="22"/>
          <w:szCs w:val="22"/>
        </w:rPr>
        <w:t>weeks</w:t>
      </w:r>
      <w:proofErr w:type="gramEnd"/>
      <w:r>
        <w:rPr>
          <w:rFonts w:asciiTheme="minorHAnsi" w:hAnsiTheme="minorHAnsi" w:cstheme="minorHAnsi"/>
          <w:b/>
          <w:bCs/>
          <w:color w:val="707070"/>
          <w:sz w:val="22"/>
          <w:szCs w:val="22"/>
        </w:rPr>
        <w:t xml:space="preserve"> here</w:t>
      </w:r>
      <w:r>
        <w:rPr>
          <w:rFonts w:asciiTheme="minorHAnsi" w:hAnsiTheme="minorHAnsi" w:cstheme="minorHAnsi"/>
          <w:b/>
          <w:bCs/>
          <w:color w:val="707070"/>
          <w:sz w:val="22"/>
          <w:szCs w:val="22"/>
        </w:rPr>
        <w:t>- </w:t>
      </w:r>
      <w:hyperlink r:id="rId10" w:history="1">
        <w:r>
          <w:rPr>
            <w:rStyle w:val="Hyperlink"/>
            <w:rFonts w:asciiTheme="minorHAnsi" w:hAnsiTheme="minorHAnsi" w:cstheme="minorHAnsi"/>
            <w:color w:val="0563C1"/>
            <w:sz w:val="22"/>
            <w:szCs w:val="22"/>
          </w:rPr>
          <w:t>https://www.waltonledale.lancs.sch.uk/curriculum/what-are-students-learning-now/other-curriculum-maps</w:t>
        </w:r>
      </w:hyperlink>
    </w:p>
    <w:p>
      <w:pPr>
        <w:rPr>
          <w:b/>
          <w:bCs/>
        </w:rPr>
      </w:pPr>
    </w:p>
    <w:tbl>
      <w:tblPr>
        <w:tblStyle w:val="TableGrid"/>
        <w:tblW w:w="0" w:type="auto"/>
        <w:tblLook w:val="04A0" w:firstRow="1" w:lastRow="0" w:firstColumn="1" w:lastColumn="0" w:noHBand="0" w:noVBand="1"/>
      </w:tblPr>
      <w:tblGrid>
        <w:gridCol w:w="1692"/>
        <w:gridCol w:w="2957"/>
        <w:gridCol w:w="2956"/>
        <w:gridCol w:w="2955"/>
        <w:gridCol w:w="2952"/>
        <w:gridCol w:w="2952"/>
        <w:gridCol w:w="2949"/>
        <w:gridCol w:w="2948"/>
      </w:tblGrid>
      <w:tr>
        <w:trPr>
          <w:trHeight w:val="1841"/>
        </w:trPr>
        <w:tc>
          <w:tcPr>
            <w:tcW w:w="1398" w:type="dxa"/>
          </w:tcPr>
          <w:p>
            <w:pPr>
              <w:jc w:val="center"/>
              <w:rPr>
                <w:b/>
              </w:rPr>
            </w:pPr>
            <w:r>
              <w:rPr>
                <w:b/>
              </w:rPr>
              <w:t>English</w:t>
            </w:r>
          </w:p>
        </w:tc>
        <w:tc>
          <w:tcPr>
            <w:tcW w:w="20963" w:type="dxa"/>
            <w:gridSpan w:val="7"/>
            <w:shd w:val="clear" w:color="auto" w:fill="auto"/>
          </w:tcPr>
          <w:p>
            <w:pPr>
              <w:rPr>
                <w:sz w:val="24"/>
              </w:rPr>
            </w:pPr>
            <w:r>
              <w:rPr>
                <w:sz w:val="24"/>
              </w:rPr>
              <w:t xml:space="preserve">Continue to look at </w:t>
            </w:r>
            <w:proofErr w:type="spellStart"/>
            <w:r>
              <w:rPr>
                <w:sz w:val="24"/>
              </w:rPr>
              <w:t>Massolit</w:t>
            </w:r>
            <w:proofErr w:type="spellEnd"/>
            <w:r>
              <w:rPr>
                <w:sz w:val="24"/>
              </w:rPr>
              <w:t xml:space="preserve"> and use the guide that Mrs Cox created for you. </w:t>
            </w:r>
          </w:p>
          <w:p>
            <w:pPr>
              <w:spacing w:line="257" w:lineRule="auto"/>
              <w:rPr>
                <w:rFonts w:ascii="Calibri" w:eastAsia="Calibri" w:hAnsi="Calibri" w:cs="Calibri"/>
                <w:b/>
              </w:rPr>
            </w:pPr>
            <w:proofErr w:type="spellStart"/>
            <w:r>
              <w:rPr>
                <w:rFonts w:ascii="Calibri" w:eastAsia="Calibri" w:hAnsi="Calibri" w:cs="Calibri"/>
              </w:rPr>
              <w:t>Massolit</w:t>
            </w:r>
            <w:proofErr w:type="spellEnd"/>
            <w:r>
              <w:rPr>
                <w:rFonts w:ascii="Calibri" w:eastAsia="Calibri" w:hAnsi="Calibri" w:cs="Calibri"/>
              </w:rPr>
              <w:t xml:space="preserve"> is a website that allows you to access several lectures from university lecturers about the literature texts we have studied.  This will allow you to deepen your knowledge and understanding of the texts we have studied.  This week I would like you to</w:t>
            </w:r>
            <w:r>
              <w:rPr>
                <w:rFonts w:ascii="Calibri" w:eastAsia="Calibri" w:hAnsi="Calibri" w:cs="Calibri"/>
                <w:b/>
              </w:rPr>
              <w:t xml:space="preserve"> watch the next course of lectures about Romeo and Juliet:</w:t>
            </w:r>
          </w:p>
          <w:p>
            <w:hyperlink r:id="rId11" w:history="1">
              <w:r>
                <w:rPr>
                  <w:rStyle w:val="Hyperlink"/>
                </w:rPr>
                <w:t>https://www.massolit.io/courses/shakespeare-romeo-juliet</w:t>
              </w:r>
            </w:hyperlink>
          </w:p>
          <w:p>
            <w:pPr>
              <w:rPr>
                <w:sz w:val="24"/>
              </w:rPr>
            </w:pPr>
            <w:r>
              <w:t>Have a look at the A-level transition booklets that your teachers have upload to Teams.  They will help you to prepare for your study of English Language and English Literature at A-level.  There should be two booklets for you to look at.  Your teachers will email you a copy of these and upload them into the files area of Teams.</w:t>
            </w:r>
          </w:p>
          <w:p>
            <w:pPr>
              <w:rPr>
                <w:highlight w:val="yellow"/>
              </w:rPr>
            </w:pPr>
          </w:p>
        </w:tc>
      </w:tr>
      <w:tr>
        <w:trPr>
          <w:trHeight w:val="384"/>
        </w:trPr>
        <w:tc>
          <w:tcPr>
            <w:tcW w:w="1398" w:type="dxa"/>
            <w:vMerge w:val="restart"/>
          </w:tcPr>
          <w:p>
            <w:pPr>
              <w:jc w:val="center"/>
              <w:rPr>
                <w:b/>
              </w:rPr>
            </w:pPr>
            <w:r>
              <w:rPr>
                <w:b/>
              </w:rPr>
              <w:t>Maths</w:t>
            </w:r>
          </w:p>
        </w:tc>
        <w:tc>
          <w:tcPr>
            <w:tcW w:w="2994" w:type="dxa"/>
            <w:shd w:val="clear" w:color="auto" w:fill="FFFF00"/>
          </w:tcPr>
          <w:p>
            <w:pPr>
              <w:jc w:val="center"/>
              <w:rPr>
                <w:b/>
                <w:highlight w:val="yellow"/>
              </w:rPr>
            </w:pPr>
            <w:r>
              <w:rPr>
                <w:b/>
                <w:highlight w:val="yellow"/>
              </w:rPr>
              <w:t>11W1</w:t>
            </w:r>
          </w:p>
        </w:tc>
        <w:tc>
          <w:tcPr>
            <w:tcW w:w="2995" w:type="dxa"/>
            <w:shd w:val="clear" w:color="auto" w:fill="FFFF00"/>
          </w:tcPr>
          <w:p>
            <w:pPr>
              <w:jc w:val="center"/>
              <w:rPr>
                <w:b/>
                <w:highlight w:val="yellow"/>
              </w:rPr>
            </w:pPr>
            <w:r>
              <w:rPr>
                <w:b/>
                <w:highlight w:val="yellow"/>
              </w:rPr>
              <w:t>11W2</w:t>
            </w:r>
          </w:p>
        </w:tc>
        <w:tc>
          <w:tcPr>
            <w:tcW w:w="2995" w:type="dxa"/>
            <w:shd w:val="clear" w:color="auto" w:fill="FFFF00"/>
          </w:tcPr>
          <w:p>
            <w:pPr>
              <w:jc w:val="center"/>
              <w:rPr>
                <w:b/>
                <w:highlight w:val="yellow"/>
              </w:rPr>
            </w:pPr>
            <w:r>
              <w:rPr>
                <w:b/>
                <w:highlight w:val="yellow"/>
              </w:rPr>
              <w:t>11W3</w:t>
            </w:r>
          </w:p>
        </w:tc>
        <w:tc>
          <w:tcPr>
            <w:tcW w:w="2994" w:type="dxa"/>
            <w:shd w:val="clear" w:color="auto" w:fill="FFFF00"/>
          </w:tcPr>
          <w:p>
            <w:pPr>
              <w:jc w:val="center"/>
              <w:rPr>
                <w:b/>
                <w:highlight w:val="yellow"/>
              </w:rPr>
            </w:pPr>
            <w:r>
              <w:rPr>
                <w:b/>
                <w:highlight w:val="yellow"/>
              </w:rPr>
              <w:t>11W4</w:t>
            </w:r>
          </w:p>
        </w:tc>
        <w:tc>
          <w:tcPr>
            <w:tcW w:w="2995" w:type="dxa"/>
            <w:shd w:val="clear" w:color="auto" w:fill="FFFF00"/>
          </w:tcPr>
          <w:p>
            <w:pPr>
              <w:jc w:val="center"/>
              <w:rPr>
                <w:b/>
                <w:highlight w:val="yellow"/>
              </w:rPr>
            </w:pPr>
            <w:r>
              <w:rPr>
                <w:b/>
                <w:highlight w:val="yellow"/>
              </w:rPr>
              <w:t>11W5</w:t>
            </w:r>
          </w:p>
        </w:tc>
        <w:tc>
          <w:tcPr>
            <w:tcW w:w="2995" w:type="dxa"/>
            <w:shd w:val="clear" w:color="auto" w:fill="FFFF00"/>
          </w:tcPr>
          <w:p>
            <w:pPr>
              <w:jc w:val="center"/>
              <w:rPr>
                <w:b/>
                <w:highlight w:val="yellow"/>
              </w:rPr>
            </w:pPr>
            <w:r>
              <w:rPr>
                <w:b/>
                <w:highlight w:val="yellow"/>
              </w:rPr>
              <w:t>11D1</w:t>
            </w:r>
          </w:p>
        </w:tc>
        <w:tc>
          <w:tcPr>
            <w:tcW w:w="2995" w:type="dxa"/>
            <w:shd w:val="clear" w:color="auto" w:fill="FFFF00"/>
          </w:tcPr>
          <w:p>
            <w:pPr>
              <w:jc w:val="center"/>
              <w:rPr>
                <w:b/>
                <w:highlight w:val="yellow"/>
              </w:rPr>
            </w:pPr>
            <w:r>
              <w:rPr>
                <w:b/>
                <w:highlight w:val="yellow"/>
              </w:rPr>
              <w:t>11D2</w:t>
            </w:r>
          </w:p>
        </w:tc>
      </w:tr>
      <w:tr>
        <w:trPr>
          <w:trHeight w:val="1155"/>
        </w:trPr>
        <w:tc>
          <w:tcPr>
            <w:tcW w:w="1398" w:type="dxa"/>
            <w:vMerge/>
          </w:tcPr>
          <w:p>
            <w:pPr>
              <w:jc w:val="center"/>
              <w:rPr>
                <w:b/>
              </w:rPr>
            </w:pPr>
          </w:p>
        </w:tc>
        <w:tc>
          <w:tcPr>
            <w:tcW w:w="20963" w:type="dxa"/>
            <w:gridSpan w:val="7"/>
            <w:shd w:val="clear" w:color="auto" w:fill="auto"/>
          </w:tcPr>
          <w:p>
            <w:pPr>
              <w:rPr>
                <w:rFonts w:eastAsiaTheme="minorEastAsia"/>
              </w:rPr>
            </w:pPr>
            <w:r>
              <w:rPr>
                <w:rFonts w:eastAsiaTheme="minorEastAsia"/>
                <w:b/>
                <w:bCs/>
                <w:color w:val="000000" w:themeColor="text1"/>
                <w:u w:val="single"/>
              </w:rPr>
              <w:t>A- Level Students</w:t>
            </w:r>
            <w:r>
              <w:rPr>
                <w:rFonts w:eastAsiaTheme="minorEastAsia"/>
                <w:color w:val="000000" w:themeColor="text1"/>
              </w:rPr>
              <w:t>: Those of you preparing for A-Level maths will need to focus on your high-level algebra skills as well as Trigonometry and trigonometric graphs.</w:t>
            </w:r>
          </w:p>
          <w:p>
            <w:pPr>
              <w:rPr>
                <w:rFonts w:eastAsiaTheme="minorEastAsia"/>
              </w:rPr>
            </w:pPr>
            <w:hyperlink r:id="rId12">
              <w:r>
                <w:rPr>
                  <w:rStyle w:val="Hyperlink"/>
                  <w:rFonts w:eastAsiaTheme="minorEastAsia"/>
                </w:rPr>
                <w:t>https://mei.org.uk/bridging_tests</w:t>
              </w:r>
            </w:hyperlink>
            <w:r>
              <w:rPr>
                <w:rFonts w:eastAsiaTheme="minorEastAsia"/>
              </w:rPr>
              <w:t xml:space="preserve"> &lt;- This link contains some ‘bridging’ tests that will help you focus on the transition from GCSE to A-Level. The solutions are also on that page. It is a very good idea that you try some of them.</w:t>
            </w:r>
          </w:p>
          <w:p>
            <w:pPr>
              <w:rPr>
                <w:rFonts w:eastAsiaTheme="minorEastAsia"/>
              </w:rPr>
            </w:pPr>
          </w:p>
          <w:p>
            <w:pPr>
              <w:rPr>
                <w:rFonts w:ascii="Calibri" w:eastAsia="Calibri" w:hAnsi="Calibri" w:cs="Calibri"/>
                <w:u w:val="single"/>
              </w:rPr>
            </w:pPr>
            <w:r>
              <w:rPr>
                <w:rFonts w:eastAsiaTheme="minorEastAsia"/>
                <w:b/>
                <w:bCs/>
                <w:color w:val="000000" w:themeColor="text1"/>
                <w:u w:val="single"/>
              </w:rPr>
              <w:t>GCSE Students:</w:t>
            </w:r>
            <w:r>
              <w:rPr>
                <w:rFonts w:eastAsiaTheme="minorEastAsia"/>
                <w:color w:val="000000" w:themeColor="text1"/>
              </w:rPr>
              <w:t xml:space="preserve">  Keep your algebra and fraction skills sharp. Your </w:t>
            </w:r>
            <w:proofErr w:type="spellStart"/>
            <w:r>
              <w:rPr>
                <w:rFonts w:eastAsiaTheme="minorEastAsia"/>
                <w:color w:val="000000" w:themeColor="text1"/>
              </w:rPr>
              <w:t>Mathswatch</w:t>
            </w:r>
            <w:proofErr w:type="spellEnd"/>
            <w:r>
              <w:rPr>
                <w:rFonts w:eastAsiaTheme="minorEastAsia"/>
                <w:color w:val="000000" w:themeColor="text1"/>
              </w:rPr>
              <w:t xml:space="preserve"> accounts will remain live for as long as you need them. </w:t>
            </w:r>
            <w:hyperlink r:id="rId13">
              <w:r>
                <w:rPr>
                  <w:rStyle w:val="Hyperlink"/>
                  <w:rFonts w:ascii="Calibri" w:eastAsia="Calibri" w:hAnsi="Calibri" w:cs="Calibri"/>
                </w:rPr>
                <w:t>https://corbettmaths.com/</w:t>
              </w:r>
            </w:hyperlink>
            <w:r>
              <w:rPr>
                <w:rFonts w:ascii="Calibri" w:eastAsia="Calibri" w:hAnsi="Calibri" w:cs="Calibri"/>
              </w:rPr>
              <w:t xml:space="preserve"> is an alternate source you could use.</w:t>
            </w:r>
          </w:p>
        </w:tc>
      </w:tr>
      <w:tr>
        <w:trPr>
          <w:trHeight w:val="378"/>
        </w:trPr>
        <w:tc>
          <w:tcPr>
            <w:tcW w:w="1398" w:type="dxa"/>
            <w:vMerge w:val="restart"/>
          </w:tcPr>
          <w:p>
            <w:pPr>
              <w:jc w:val="center"/>
              <w:rPr>
                <w:b/>
              </w:rPr>
            </w:pPr>
            <w:r>
              <w:rPr>
                <w:b/>
              </w:rPr>
              <w:t>Science</w:t>
            </w:r>
          </w:p>
        </w:tc>
        <w:tc>
          <w:tcPr>
            <w:tcW w:w="2994" w:type="dxa"/>
            <w:shd w:val="clear" w:color="auto" w:fill="FFFF00"/>
          </w:tcPr>
          <w:p>
            <w:pPr>
              <w:jc w:val="center"/>
              <w:rPr>
                <w:b/>
                <w:highlight w:val="yellow"/>
              </w:rPr>
            </w:pPr>
            <w:r>
              <w:rPr>
                <w:b/>
                <w:highlight w:val="yellow"/>
              </w:rPr>
              <w:t>11W1</w:t>
            </w:r>
          </w:p>
        </w:tc>
        <w:tc>
          <w:tcPr>
            <w:tcW w:w="2995" w:type="dxa"/>
            <w:shd w:val="clear" w:color="auto" w:fill="FFFF00"/>
          </w:tcPr>
          <w:p>
            <w:pPr>
              <w:jc w:val="center"/>
              <w:rPr>
                <w:b/>
                <w:highlight w:val="yellow"/>
              </w:rPr>
            </w:pPr>
            <w:r>
              <w:rPr>
                <w:b/>
                <w:highlight w:val="yellow"/>
              </w:rPr>
              <w:t>11W2</w:t>
            </w:r>
          </w:p>
        </w:tc>
        <w:tc>
          <w:tcPr>
            <w:tcW w:w="2995" w:type="dxa"/>
            <w:shd w:val="clear" w:color="auto" w:fill="FFFF00"/>
          </w:tcPr>
          <w:p>
            <w:pPr>
              <w:jc w:val="center"/>
              <w:rPr>
                <w:b/>
                <w:highlight w:val="yellow"/>
              </w:rPr>
            </w:pPr>
            <w:r>
              <w:rPr>
                <w:b/>
                <w:highlight w:val="yellow"/>
              </w:rPr>
              <w:t>11W3</w:t>
            </w:r>
          </w:p>
        </w:tc>
        <w:tc>
          <w:tcPr>
            <w:tcW w:w="2994" w:type="dxa"/>
            <w:shd w:val="clear" w:color="auto" w:fill="FFFF00"/>
          </w:tcPr>
          <w:p>
            <w:pPr>
              <w:jc w:val="center"/>
              <w:rPr>
                <w:b/>
                <w:highlight w:val="yellow"/>
              </w:rPr>
            </w:pPr>
            <w:r>
              <w:rPr>
                <w:b/>
                <w:highlight w:val="yellow"/>
              </w:rPr>
              <w:t>11W4</w:t>
            </w:r>
          </w:p>
        </w:tc>
        <w:tc>
          <w:tcPr>
            <w:tcW w:w="2995" w:type="dxa"/>
            <w:shd w:val="clear" w:color="auto" w:fill="FFFF00"/>
          </w:tcPr>
          <w:p>
            <w:pPr>
              <w:jc w:val="center"/>
              <w:rPr>
                <w:b/>
                <w:highlight w:val="yellow"/>
              </w:rPr>
            </w:pPr>
            <w:r>
              <w:rPr>
                <w:b/>
                <w:highlight w:val="yellow"/>
              </w:rPr>
              <w:t>11W5</w:t>
            </w:r>
          </w:p>
        </w:tc>
        <w:tc>
          <w:tcPr>
            <w:tcW w:w="2995" w:type="dxa"/>
            <w:shd w:val="clear" w:color="auto" w:fill="FFFF00"/>
          </w:tcPr>
          <w:p>
            <w:pPr>
              <w:jc w:val="center"/>
              <w:rPr>
                <w:b/>
                <w:highlight w:val="yellow"/>
              </w:rPr>
            </w:pPr>
            <w:r>
              <w:rPr>
                <w:b/>
                <w:highlight w:val="yellow"/>
              </w:rPr>
              <w:t>11D1</w:t>
            </w:r>
          </w:p>
        </w:tc>
        <w:tc>
          <w:tcPr>
            <w:tcW w:w="2995" w:type="dxa"/>
            <w:shd w:val="clear" w:color="auto" w:fill="FFFF00"/>
          </w:tcPr>
          <w:p>
            <w:pPr>
              <w:jc w:val="center"/>
              <w:rPr>
                <w:b/>
                <w:highlight w:val="yellow"/>
              </w:rPr>
            </w:pPr>
            <w:r>
              <w:rPr>
                <w:b/>
                <w:highlight w:val="yellow"/>
              </w:rPr>
              <w:t>11D2</w:t>
            </w:r>
          </w:p>
        </w:tc>
      </w:tr>
      <w:tr>
        <w:trPr>
          <w:trHeight w:val="1093"/>
        </w:trPr>
        <w:tc>
          <w:tcPr>
            <w:tcW w:w="1398" w:type="dxa"/>
            <w:vMerge/>
          </w:tcPr>
          <w:p>
            <w:pPr>
              <w:jc w:val="center"/>
              <w:rPr>
                <w:b/>
              </w:rPr>
            </w:pPr>
          </w:p>
        </w:tc>
        <w:tc>
          <w:tcPr>
            <w:tcW w:w="2994" w:type="dxa"/>
            <w:shd w:val="clear" w:color="auto" w:fill="auto"/>
          </w:tcPr>
          <w:p>
            <w:pPr>
              <w:jc w:val="center"/>
              <w:rPr>
                <w:b/>
                <w:highlight w:val="yellow"/>
              </w:rPr>
            </w:pPr>
          </w:p>
        </w:tc>
        <w:tc>
          <w:tcPr>
            <w:tcW w:w="2995" w:type="dxa"/>
            <w:shd w:val="clear" w:color="auto" w:fill="auto"/>
          </w:tcPr>
          <w:p>
            <w:pPr>
              <w:jc w:val="center"/>
              <w:rPr>
                <w:b/>
                <w:highlight w:val="yellow"/>
              </w:rPr>
            </w:pPr>
          </w:p>
        </w:tc>
        <w:tc>
          <w:tcPr>
            <w:tcW w:w="2995" w:type="dxa"/>
            <w:shd w:val="clear" w:color="auto" w:fill="auto"/>
          </w:tcPr>
          <w:p>
            <w:pPr>
              <w:jc w:val="center"/>
              <w:rPr>
                <w:b/>
                <w:highlight w:val="yellow"/>
              </w:rPr>
            </w:pPr>
          </w:p>
        </w:tc>
        <w:tc>
          <w:tcPr>
            <w:tcW w:w="2994" w:type="dxa"/>
            <w:shd w:val="clear" w:color="auto" w:fill="auto"/>
          </w:tcPr>
          <w:p>
            <w:pPr>
              <w:jc w:val="center"/>
              <w:rPr>
                <w:b/>
                <w:highlight w:val="yellow"/>
              </w:rPr>
            </w:pPr>
          </w:p>
        </w:tc>
        <w:tc>
          <w:tcPr>
            <w:tcW w:w="2995" w:type="dxa"/>
            <w:shd w:val="clear" w:color="auto" w:fill="auto"/>
          </w:tcPr>
          <w:p>
            <w:pPr>
              <w:jc w:val="center"/>
              <w:rPr>
                <w:b/>
                <w:highlight w:val="yellow"/>
              </w:rPr>
            </w:pPr>
          </w:p>
        </w:tc>
        <w:tc>
          <w:tcPr>
            <w:tcW w:w="2995" w:type="dxa"/>
            <w:shd w:val="clear" w:color="auto" w:fill="auto"/>
          </w:tcPr>
          <w:p>
            <w:pPr>
              <w:jc w:val="center"/>
              <w:rPr>
                <w:b/>
                <w:highlight w:val="yellow"/>
              </w:rPr>
            </w:pPr>
          </w:p>
        </w:tc>
        <w:tc>
          <w:tcPr>
            <w:tcW w:w="2995" w:type="dxa"/>
            <w:shd w:val="clear" w:color="auto" w:fill="auto"/>
          </w:tcPr>
          <w:p>
            <w:pPr>
              <w:jc w:val="center"/>
              <w:rPr>
                <w:b/>
                <w:highlight w:val="yellow"/>
              </w:rPr>
            </w:pPr>
          </w:p>
        </w:tc>
      </w:tr>
      <w:tr>
        <w:trPr>
          <w:trHeight w:val="1134"/>
        </w:trPr>
        <w:tc>
          <w:tcPr>
            <w:tcW w:w="1398" w:type="dxa"/>
          </w:tcPr>
          <w:p>
            <w:pPr>
              <w:jc w:val="center"/>
              <w:rPr>
                <w:b/>
              </w:rPr>
            </w:pPr>
            <w:r>
              <w:rPr>
                <w:b/>
              </w:rPr>
              <w:t>Computer Science</w:t>
            </w:r>
          </w:p>
        </w:tc>
        <w:tc>
          <w:tcPr>
            <w:tcW w:w="20963" w:type="dxa"/>
            <w:gridSpan w:val="7"/>
            <w:vMerge w:val="restart"/>
            <w:shd w:val="clear" w:color="auto" w:fill="auto"/>
            <w:vAlign w:val="center"/>
          </w:tcPr>
          <w:p>
            <w:pPr>
              <w:spacing w:before="120" w:after="120"/>
              <w:rPr>
                <w:b/>
                <w:u w:val="single"/>
              </w:rPr>
            </w:pPr>
            <w:r>
              <w:rPr>
                <w:b/>
                <w:u w:val="single"/>
              </w:rPr>
              <w:t>Preparing for further work/study in ICT, Enterprise and Computer Science:</w:t>
            </w:r>
          </w:p>
          <w:p>
            <w:pPr>
              <w:spacing w:before="120" w:after="120"/>
              <w:rPr>
                <w:bCs/>
              </w:rPr>
            </w:pPr>
            <w:r>
              <w:rPr>
                <w:bCs/>
              </w:rPr>
              <w:t xml:space="preserve">The Inspiring Digital Enterprise Award, known as </w:t>
            </w:r>
            <w:proofErr w:type="spellStart"/>
            <w:r>
              <w:rPr>
                <w:bCs/>
              </w:rPr>
              <w:t>iDEA</w:t>
            </w:r>
            <w:proofErr w:type="spellEnd"/>
            <w:r>
              <w:rPr>
                <w:bCs/>
              </w:rPr>
              <w:t xml:space="preserve">, is an international programme that helps you develop digital, enterprise and employability skills. You will complete a series of online challenges known as badges. </w:t>
            </w:r>
            <w:r>
              <w:rPr>
                <w:b/>
              </w:rPr>
              <w:t xml:space="preserve">By earning enough of these badges, you will receive an </w:t>
            </w:r>
            <w:proofErr w:type="gramStart"/>
            <w:r>
              <w:rPr>
                <w:b/>
              </w:rPr>
              <w:t>industry recognised</w:t>
            </w:r>
            <w:proofErr w:type="gramEnd"/>
            <w:r>
              <w:rPr>
                <w:b/>
              </w:rPr>
              <w:t xml:space="preserve"> award – which looks great on your CV. </w:t>
            </w:r>
            <w:proofErr w:type="spellStart"/>
            <w:r>
              <w:rPr>
                <w:b/>
              </w:rPr>
              <w:t>iDEA</w:t>
            </w:r>
            <w:proofErr w:type="spellEnd"/>
            <w:r>
              <w:rPr>
                <w:b/>
              </w:rPr>
              <w:t xml:space="preserve"> is the digital and enterprise equivalent of The Duke of Edinburgh’s Award.</w:t>
            </w:r>
          </w:p>
          <w:p>
            <w:pPr>
              <w:spacing w:before="120" w:after="120"/>
              <w:rPr>
                <w:bCs/>
              </w:rPr>
            </w:pPr>
            <w:r>
              <w:rPr>
                <w:bCs/>
              </w:rPr>
              <w:t xml:space="preserve">To sign-up, follow the guide at: </w:t>
            </w:r>
            <w:hyperlink r:id="rId14" w:history="1">
              <w:r>
                <w:rPr>
                  <w:rStyle w:val="Hyperlink"/>
                  <w:bCs/>
                </w:rPr>
                <w:t>http://mr.moorcroft.online/y9/iDEA</w:t>
              </w:r>
            </w:hyperlink>
          </w:p>
          <w:p>
            <w:pPr>
              <w:spacing w:before="120" w:after="120"/>
              <w:rPr>
                <w:bCs/>
              </w:rPr>
            </w:pPr>
            <w:r>
              <w:rPr>
                <w:bCs/>
              </w:rPr>
              <w:t>(This guide has been designed for year 9 pupils, so when asked for an organiser code, add ‘WLD-Y11’. You do not need to complete step 3.)</w:t>
            </w:r>
          </w:p>
          <w:p>
            <w:pPr>
              <w:spacing w:before="120" w:after="120"/>
              <w:rPr>
                <w:b/>
              </w:rPr>
            </w:pPr>
            <w:r>
              <w:rPr>
                <w:bCs/>
              </w:rPr>
              <w:t xml:space="preserve">If students or parents have any questions, they should contact Mr J. Moorcroft: </w:t>
            </w:r>
            <w:hyperlink r:id="rId15" w:history="1">
              <w:r>
                <w:rPr>
                  <w:rStyle w:val="Hyperlink"/>
                  <w:bCs/>
                </w:rPr>
                <w:t>j.moorcroft-jones@waltonledale.lancs.sch.uk</w:t>
              </w:r>
            </w:hyperlink>
          </w:p>
        </w:tc>
      </w:tr>
      <w:tr>
        <w:trPr>
          <w:trHeight w:val="1134"/>
        </w:trPr>
        <w:tc>
          <w:tcPr>
            <w:tcW w:w="1398" w:type="dxa"/>
          </w:tcPr>
          <w:p>
            <w:pPr>
              <w:jc w:val="center"/>
              <w:rPr>
                <w:b/>
              </w:rPr>
            </w:pPr>
            <w:r>
              <w:rPr>
                <w:b/>
              </w:rPr>
              <w:t>Enterprise</w:t>
            </w:r>
          </w:p>
        </w:tc>
        <w:tc>
          <w:tcPr>
            <w:tcW w:w="20963" w:type="dxa"/>
            <w:gridSpan w:val="7"/>
            <w:vMerge/>
          </w:tcPr>
          <w:p>
            <w:pPr>
              <w:jc w:val="center"/>
              <w:rPr>
                <w:b/>
              </w:rPr>
            </w:pPr>
          </w:p>
        </w:tc>
      </w:tr>
      <w:tr>
        <w:trPr>
          <w:trHeight w:val="1134"/>
        </w:trPr>
        <w:tc>
          <w:tcPr>
            <w:tcW w:w="1398" w:type="dxa"/>
          </w:tcPr>
          <w:p>
            <w:pPr>
              <w:jc w:val="center"/>
              <w:rPr>
                <w:b/>
              </w:rPr>
            </w:pPr>
            <w:r>
              <w:rPr>
                <w:b/>
              </w:rPr>
              <w:t>ICT</w:t>
            </w:r>
          </w:p>
        </w:tc>
        <w:tc>
          <w:tcPr>
            <w:tcW w:w="20963" w:type="dxa"/>
            <w:gridSpan w:val="7"/>
            <w:vMerge/>
          </w:tcPr>
          <w:p>
            <w:pPr>
              <w:jc w:val="center"/>
              <w:rPr>
                <w:b/>
              </w:rPr>
            </w:pPr>
          </w:p>
        </w:tc>
      </w:tr>
      <w:tr>
        <w:trPr>
          <w:trHeight w:val="1921"/>
        </w:trPr>
        <w:tc>
          <w:tcPr>
            <w:tcW w:w="1398" w:type="dxa"/>
          </w:tcPr>
          <w:p>
            <w:pPr>
              <w:jc w:val="center"/>
              <w:rPr>
                <w:b/>
              </w:rPr>
            </w:pPr>
            <w:r>
              <w:rPr>
                <w:b/>
              </w:rPr>
              <w:t>French</w:t>
            </w:r>
          </w:p>
        </w:tc>
        <w:tc>
          <w:tcPr>
            <w:tcW w:w="20963" w:type="dxa"/>
            <w:gridSpan w:val="7"/>
            <w:shd w:val="clear" w:color="auto" w:fill="auto"/>
          </w:tcPr>
          <w:p>
            <w:pPr>
              <w:spacing w:line="259" w:lineRule="auto"/>
              <w:rPr>
                <w:rFonts w:ascii="Calibri" w:eastAsia="Calibri" w:hAnsi="Calibri" w:cs="Calibri"/>
              </w:rPr>
            </w:pPr>
            <w:r>
              <w:rPr>
                <w:rFonts w:ascii="Calibri" w:eastAsia="Calibri" w:hAnsi="Calibri" w:cs="Calibri"/>
                <w:b/>
                <w:bCs/>
                <w:u w:val="single"/>
              </w:rPr>
              <w:t>A-Level French</w:t>
            </w:r>
          </w:p>
          <w:p>
            <w:pPr>
              <w:spacing w:line="259" w:lineRule="auto"/>
              <w:rPr>
                <w:rFonts w:ascii="Calibri" w:eastAsia="Calibri" w:hAnsi="Calibri" w:cs="Calibri"/>
              </w:rPr>
            </w:pPr>
          </w:p>
          <w:p>
            <w:pPr>
              <w:spacing w:line="259" w:lineRule="auto"/>
              <w:rPr>
                <w:rFonts w:ascii="Calibri" w:eastAsia="Calibri" w:hAnsi="Calibri" w:cs="Calibri"/>
              </w:rPr>
            </w:pPr>
            <w:r>
              <w:rPr>
                <w:rFonts w:ascii="Calibri" w:eastAsia="Calibri" w:hAnsi="Calibri" w:cs="Calibri"/>
              </w:rPr>
              <w:t>For those of you considering taking French A-Level, you will find a useful pack of materials posted on Teams.</w:t>
            </w:r>
          </w:p>
          <w:p>
            <w:pPr>
              <w:spacing w:line="259" w:lineRule="auto"/>
              <w:rPr>
                <w:rFonts w:ascii="Calibri" w:eastAsia="Calibri" w:hAnsi="Calibri" w:cs="Calibri"/>
              </w:rPr>
            </w:pPr>
          </w:p>
          <w:p>
            <w:pPr>
              <w:spacing w:line="259" w:lineRule="auto"/>
              <w:rPr>
                <w:rFonts w:ascii="Calibri" w:eastAsia="Calibri" w:hAnsi="Calibri" w:cs="Calibri"/>
              </w:rPr>
            </w:pPr>
            <w:r>
              <w:rPr>
                <w:rFonts w:ascii="Calibri" w:eastAsia="Calibri" w:hAnsi="Calibri" w:cs="Calibri"/>
              </w:rPr>
              <w:t>You can also click the link below for a variety of interactive materials for French A-Level (audio and visual).  You will be able to see which resources are free to download.</w:t>
            </w:r>
          </w:p>
          <w:p>
            <w:pPr>
              <w:spacing w:line="259" w:lineRule="auto"/>
              <w:rPr>
                <w:rFonts w:ascii="Calibri" w:eastAsia="Calibri" w:hAnsi="Calibri" w:cs="Calibri"/>
              </w:rPr>
            </w:pPr>
          </w:p>
          <w:p>
            <w:pPr>
              <w:spacing w:line="259" w:lineRule="auto"/>
              <w:rPr>
                <w:rFonts w:ascii="Calibri" w:eastAsia="Calibri" w:hAnsi="Calibri" w:cs="Calibri"/>
              </w:rPr>
            </w:pPr>
            <w:hyperlink r:id="rId16">
              <w:r>
                <w:rPr>
                  <w:rStyle w:val="Hyperlink"/>
                  <w:rFonts w:ascii="Calibri" w:eastAsia="Calibri" w:hAnsi="Calibri" w:cs="Calibri"/>
                  <w:color w:val="0563C1"/>
                </w:rPr>
                <w:t>https://www.teachitlanguages.co.uk/ks5-french-topics</w:t>
              </w:r>
            </w:hyperlink>
          </w:p>
          <w:p>
            <w:pPr>
              <w:rPr>
                <w:b/>
                <w:bCs/>
              </w:rPr>
            </w:pPr>
          </w:p>
        </w:tc>
      </w:tr>
      <w:tr>
        <w:trPr>
          <w:trHeight w:val="1921"/>
        </w:trPr>
        <w:tc>
          <w:tcPr>
            <w:tcW w:w="1398" w:type="dxa"/>
          </w:tcPr>
          <w:p>
            <w:pPr>
              <w:jc w:val="center"/>
              <w:rPr>
                <w:b/>
              </w:rPr>
            </w:pPr>
            <w:r>
              <w:rPr>
                <w:b/>
              </w:rPr>
              <w:t>Geography</w:t>
            </w:r>
          </w:p>
        </w:tc>
        <w:tc>
          <w:tcPr>
            <w:tcW w:w="20963" w:type="dxa"/>
            <w:gridSpan w:val="7"/>
            <w:shd w:val="clear" w:color="auto" w:fill="auto"/>
          </w:tcPr>
          <w:p>
            <w:pPr>
              <w:spacing w:line="259" w:lineRule="auto"/>
              <w:rPr>
                <w:rFonts w:ascii="Calibri" w:eastAsia="Calibri" w:hAnsi="Calibri" w:cs="Calibri"/>
              </w:rPr>
            </w:pPr>
            <w:r>
              <w:rPr>
                <w:rFonts w:ascii="Calibri" w:eastAsia="Calibri" w:hAnsi="Calibri" w:cs="Calibri"/>
                <w:b/>
                <w:bCs/>
                <w:u w:val="single"/>
              </w:rPr>
              <w:t>A- Level Geography.</w:t>
            </w:r>
          </w:p>
          <w:p>
            <w:pPr>
              <w:spacing w:line="259" w:lineRule="auto"/>
              <w:rPr>
                <w:rFonts w:ascii="Calibri" w:eastAsia="Calibri" w:hAnsi="Calibri" w:cs="Calibri"/>
              </w:rPr>
            </w:pPr>
          </w:p>
          <w:p>
            <w:pPr>
              <w:spacing w:line="259" w:lineRule="auto"/>
              <w:rPr>
                <w:rFonts w:ascii="Calibri" w:eastAsia="Calibri" w:hAnsi="Calibri" w:cs="Calibri"/>
              </w:rPr>
            </w:pPr>
            <w:r>
              <w:rPr>
                <w:rFonts w:ascii="Calibri" w:eastAsia="Calibri" w:hAnsi="Calibri" w:cs="Calibri"/>
              </w:rPr>
              <w:t xml:space="preserve">For those of you considering A – Level Geography, I have sent out on group email a link to YouTuber who covers the Physical Geography course which most institutions will spend at least half of year 12 on. By covering these </w:t>
            </w:r>
            <w:proofErr w:type="gramStart"/>
            <w:r>
              <w:rPr>
                <w:rFonts w:ascii="Calibri" w:eastAsia="Calibri" w:hAnsi="Calibri" w:cs="Calibri"/>
              </w:rPr>
              <w:t>topics</w:t>
            </w:r>
            <w:proofErr w:type="gramEnd"/>
            <w:r>
              <w:rPr>
                <w:rFonts w:ascii="Calibri" w:eastAsia="Calibri" w:hAnsi="Calibri" w:cs="Calibri"/>
              </w:rPr>
              <w:t xml:space="preserve"> it will aid your progression when you move onto the course. I have also included an A-level skills booklet – this is quite mathematical in </w:t>
            </w:r>
            <w:proofErr w:type="gramStart"/>
            <w:r>
              <w:rPr>
                <w:rFonts w:ascii="Calibri" w:eastAsia="Calibri" w:hAnsi="Calibri" w:cs="Calibri"/>
              </w:rPr>
              <w:t>its</w:t>
            </w:r>
            <w:proofErr w:type="gramEnd"/>
            <w:r>
              <w:rPr>
                <w:rFonts w:ascii="Calibri" w:eastAsia="Calibri" w:hAnsi="Calibri" w:cs="Calibri"/>
              </w:rPr>
              <w:t>’ skills as A-Level geography does contain a high level of mathematical ability.</w:t>
            </w:r>
          </w:p>
          <w:p>
            <w:pPr>
              <w:spacing w:line="259" w:lineRule="auto"/>
              <w:rPr>
                <w:rFonts w:ascii="Calibri" w:eastAsia="Calibri" w:hAnsi="Calibri" w:cs="Calibri"/>
              </w:rPr>
            </w:pPr>
            <w:r>
              <w:rPr>
                <w:rFonts w:ascii="Calibri" w:eastAsia="Calibri" w:hAnsi="Calibri" w:cs="Calibri"/>
              </w:rPr>
              <w:t xml:space="preserve">Please visit your group’s Team </w:t>
            </w:r>
            <w:proofErr w:type="gramStart"/>
            <w:r>
              <w:rPr>
                <w:rFonts w:ascii="Calibri" w:eastAsia="Calibri" w:hAnsi="Calibri" w:cs="Calibri"/>
              </w:rPr>
              <w:t>area and download/read resources</w:t>
            </w:r>
            <w:proofErr w:type="gramEnd"/>
            <w:r>
              <w:rPr>
                <w:rFonts w:ascii="Calibri" w:eastAsia="Calibri" w:hAnsi="Calibri" w:cs="Calibri"/>
              </w:rPr>
              <w:t xml:space="preserve"> and use link below.</w:t>
            </w:r>
          </w:p>
          <w:p>
            <w:pPr>
              <w:spacing w:line="259" w:lineRule="auto"/>
              <w:rPr>
                <w:rFonts w:ascii="Calibri" w:eastAsia="Calibri" w:hAnsi="Calibri" w:cs="Calibri"/>
              </w:rPr>
            </w:pPr>
          </w:p>
          <w:p>
            <w:pPr>
              <w:spacing w:line="257" w:lineRule="auto"/>
              <w:rPr>
                <w:rFonts w:ascii="Calibri" w:eastAsia="Calibri" w:hAnsi="Calibri" w:cs="Calibri"/>
                <w:sz w:val="28"/>
                <w:szCs w:val="28"/>
              </w:rPr>
            </w:pPr>
            <w:hyperlink r:id="rId17">
              <w:r>
                <w:rPr>
                  <w:rStyle w:val="Hyperlink"/>
                  <w:rFonts w:ascii="Calibri" w:eastAsia="Calibri" w:hAnsi="Calibri" w:cs="Calibri"/>
                  <w:color w:val="0563C1"/>
                  <w:sz w:val="28"/>
                  <w:szCs w:val="28"/>
                </w:rPr>
                <w:t>https://youtu.be/1FQOEQtWNZ8</w:t>
              </w:r>
            </w:hyperlink>
          </w:p>
          <w:p>
            <w:pPr>
              <w:jc w:val="center"/>
              <w:rPr>
                <w:b/>
                <w:bCs/>
              </w:rPr>
            </w:pPr>
          </w:p>
        </w:tc>
      </w:tr>
      <w:tr>
        <w:trPr>
          <w:trHeight w:val="1921"/>
        </w:trPr>
        <w:tc>
          <w:tcPr>
            <w:tcW w:w="1398" w:type="dxa"/>
          </w:tcPr>
          <w:p>
            <w:pPr>
              <w:jc w:val="center"/>
              <w:rPr>
                <w:b/>
              </w:rPr>
            </w:pPr>
            <w:r>
              <w:rPr>
                <w:b/>
              </w:rPr>
              <w:lastRenderedPageBreak/>
              <w:t>Food &amp; Nutrition</w:t>
            </w:r>
          </w:p>
        </w:tc>
        <w:tc>
          <w:tcPr>
            <w:tcW w:w="20963" w:type="dxa"/>
            <w:gridSpan w:val="7"/>
            <w:shd w:val="clear" w:color="auto" w:fill="auto"/>
          </w:tcPr>
          <w:p>
            <w:pPr>
              <w:rPr>
                <w:rFonts w:ascii="Comic Sans MS" w:eastAsia="Comic Sans MS" w:hAnsi="Comic Sans MS" w:cs="Comic Sans MS"/>
                <w:sz w:val="24"/>
                <w:szCs w:val="24"/>
              </w:rPr>
            </w:pPr>
            <w:r>
              <w:rPr>
                <w:rFonts w:ascii="Comic Sans MS" w:eastAsia="Comic Sans MS" w:hAnsi="Comic Sans MS" w:cs="Comic Sans MS"/>
                <w:sz w:val="24"/>
                <w:szCs w:val="24"/>
              </w:rPr>
              <w:t xml:space="preserve">Produce a photographic portfolio of the food you have cooked at home ready to take to college.  Think about the presentation of what you make. You could turn this into your own unique cookbook add notes, ideas of your own and modifications you could do to adapt the recipes.  Practice </w:t>
            </w:r>
            <w:proofErr w:type="gramStart"/>
            <w:r>
              <w:rPr>
                <w:rFonts w:ascii="Comic Sans MS" w:eastAsia="Comic Sans MS" w:hAnsi="Comic Sans MS" w:cs="Comic Sans MS"/>
                <w:sz w:val="24"/>
                <w:szCs w:val="24"/>
              </w:rPr>
              <w:t>your</w:t>
            </w:r>
            <w:proofErr w:type="gramEnd"/>
            <w:r>
              <w:rPr>
                <w:rFonts w:ascii="Comic Sans MS" w:eastAsia="Comic Sans MS" w:hAnsi="Comic Sans MS" w:cs="Comic Sans MS"/>
                <w:sz w:val="24"/>
                <w:szCs w:val="24"/>
              </w:rPr>
              <w:t xml:space="preserve"> making skills breads, sauces, cakes and pastries are some starting points.  Your outcomes </w:t>
            </w:r>
            <w:proofErr w:type="gramStart"/>
            <w:r>
              <w:rPr>
                <w:rFonts w:ascii="Comic Sans MS" w:eastAsia="Comic Sans MS" w:hAnsi="Comic Sans MS" w:cs="Comic Sans MS"/>
                <w:sz w:val="24"/>
                <w:szCs w:val="24"/>
              </w:rPr>
              <w:t>could be photographed and added to your portfolio</w:t>
            </w:r>
            <w:proofErr w:type="gramEnd"/>
            <w:r>
              <w:rPr>
                <w:rFonts w:ascii="Comic Sans MS" w:eastAsia="Comic Sans MS" w:hAnsi="Comic Sans MS" w:cs="Comic Sans MS"/>
                <w:sz w:val="24"/>
                <w:szCs w:val="24"/>
              </w:rPr>
              <w:t xml:space="preserve">.  If you can get the ingredients, then watch YouTube clips on how different products </w:t>
            </w:r>
            <w:proofErr w:type="gramStart"/>
            <w:r>
              <w:rPr>
                <w:rFonts w:ascii="Comic Sans MS" w:eastAsia="Comic Sans MS" w:hAnsi="Comic Sans MS" w:cs="Comic Sans MS"/>
                <w:sz w:val="24"/>
                <w:szCs w:val="24"/>
              </w:rPr>
              <w:t>are made</w:t>
            </w:r>
            <w:proofErr w:type="gramEnd"/>
            <w:r>
              <w:rPr>
                <w:rFonts w:ascii="Comic Sans MS" w:eastAsia="Comic Sans MS" w:hAnsi="Comic Sans MS" w:cs="Comic Sans MS"/>
                <w:sz w:val="24"/>
                <w:szCs w:val="24"/>
              </w:rPr>
              <w:t xml:space="preserve"> and make notes as you make.</w:t>
            </w:r>
          </w:p>
          <w:p>
            <w:pPr>
              <w:rPr>
                <w:rFonts w:ascii="Comic Sans MS" w:eastAsia="Comic Sans MS" w:hAnsi="Comic Sans MS" w:cs="Comic Sans MS"/>
                <w:sz w:val="24"/>
                <w:szCs w:val="24"/>
              </w:rPr>
            </w:pPr>
            <w:r>
              <w:rPr>
                <w:rFonts w:ascii="Comic Sans MS" w:eastAsia="Comic Sans MS" w:hAnsi="Comic Sans MS" w:cs="Comic Sans MS"/>
                <w:sz w:val="24"/>
                <w:szCs w:val="24"/>
              </w:rPr>
              <w:t xml:space="preserve">There is the Great British Bake off and Jamie Oliver ‘Keep cooking and carry on’ TV programme on every day.  Free to watch on All 4.     </w:t>
            </w:r>
          </w:p>
        </w:tc>
      </w:tr>
      <w:tr>
        <w:trPr>
          <w:trHeight w:val="1921"/>
        </w:trPr>
        <w:tc>
          <w:tcPr>
            <w:tcW w:w="1398" w:type="dxa"/>
          </w:tcPr>
          <w:p>
            <w:pPr>
              <w:jc w:val="center"/>
              <w:rPr>
                <w:b/>
              </w:rPr>
            </w:pPr>
            <w:r>
              <w:rPr>
                <w:b/>
              </w:rPr>
              <w:t>History</w:t>
            </w:r>
          </w:p>
        </w:tc>
        <w:tc>
          <w:tcPr>
            <w:tcW w:w="20963" w:type="dxa"/>
            <w:gridSpan w:val="7"/>
            <w:shd w:val="clear" w:color="auto" w:fill="auto"/>
          </w:tcPr>
          <w:p>
            <w:pPr>
              <w:spacing w:line="257"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This week year 11 will continue to develop their subject knowledge and skills for potential future A-Level studies. The focus this week is to build on the research set in previous weeks about the challenges Germany faced after WW1. This week I would like you to reflect on how a wide range of factors created an opportunity for the Nazis to increase their support and then dismantle Germany’s democracy in the early 1930s.  This week I have sent out some tasks and video links, as well as an A-Level style workbook to help you </w:t>
            </w:r>
            <w:proofErr w:type="gramStart"/>
            <w:r>
              <w:rPr>
                <w:rFonts w:ascii="Comic Sans MS" w:eastAsia="Comic Sans MS" w:hAnsi="Comic Sans MS" w:cs="Comic Sans MS"/>
                <w:sz w:val="28"/>
                <w:szCs w:val="28"/>
              </w:rPr>
              <w:t>engage with this topic and some of the key questions, these resources will be in your class area on teams</w:t>
            </w:r>
            <w:proofErr w:type="gramEnd"/>
            <w:r>
              <w:rPr>
                <w:rFonts w:ascii="Comic Sans MS" w:eastAsia="Comic Sans MS" w:hAnsi="Comic Sans MS" w:cs="Comic Sans MS"/>
                <w:sz w:val="28"/>
                <w:szCs w:val="28"/>
              </w:rPr>
              <w:t xml:space="preserve">. </w:t>
            </w:r>
          </w:p>
          <w:p>
            <w:pPr>
              <w:rPr>
                <w:rFonts w:ascii="Comic Sans MS" w:eastAsia="Comic Sans MS" w:hAnsi="Comic Sans MS" w:cs="Comic Sans MS"/>
                <w:sz w:val="24"/>
                <w:szCs w:val="24"/>
              </w:rPr>
            </w:pPr>
          </w:p>
        </w:tc>
      </w:tr>
      <w:tr>
        <w:trPr>
          <w:trHeight w:val="1921"/>
        </w:trPr>
        <w:tc>
          <w:tcPr>
            <w:tcW w:w="1398" w:type="dxa"/>
          </w:tcPr>
          <w:p>
            <w:pPr>
              <w:jc w:val="center"/>
              <w:rPr>
                <w:b/>
              </w:rPr>
            </w:pPr>
            <w:r>
              <w:rPr>
                <w:b/>
              </w:rPr>
              <w:t>RE</w:t>
            </w:r>
          </w:p>
        </w:tc>
        <w:tc>
          <w:tcPr>
            <w:tcW w:w="20963" w:type="dxa"/>
            <w:gridSpan w:val="7"/>
            <w:shd w:val="clear" w:color="auto" w:fill="auto"/>
          </w:tcPr>
          <w:p>
            <w:pPr>
              <w:rPr>
                <w:b/>
                <w:bCs/>
              </w:rPr>
            </w:pPr>
          </w:p>
        </w:tc>
      </w:tr>
      <w:tr>
        <w:trPr>
          <w:trHeight w:val="1921"/>
        </w:trPr>
        <w:tc>
          <w:tcPr>
            <w:tcW w:w="1398" w:type="dxa"/>
          </w:tcPr>
          <w:p>
            <w:pPr>
              <w:jc w:val="center"/>
              <w:rPr>
                <w:rFonts w:ascii="Segoe UI Historic" w:eastAsia="Segoe UI Historic" w:hAnsi="Segoe UI Historic" w:cs="Segoe UI Historic"/>
                <w:b/>
                <w:bCs/>
              </w:rPr>
            </w:pPr>
            <w:r>
              <w:rPr>
                <w:rFonts w:ascii="Segoe UI Historic" w:eastAsia="Segoe UI Historic" w:hAnsi="Segoe UI Historic" w:cs="Segoe UI Historic"/>
                <w:b/>
                <w:bCs/>
              </w:rPr>
              <w:t>Art</w:t>
            </w:r>
          </w:p>
        </w:tc>
        <w:tc>
          <w:tcPr>
            <w:tcW w:w="20963" w:type="dxa"/>
            <w:gridSpan w:val="7"/>
            <w:shd w:val="clear" w:color="auto" w:fill="auto"/>
          </w:tcPr>
          <w:p>
            <w:pPr>
              <w:rPr>
                <w:rFonts w:ascii="Segoe UI Historic" w:eastAsia="Segoe UI Historic" w:hAnsi="Segoe UI Historic" w:cs="Segoe UI Historic"/>
                <w:b/>
                <w:bCs/>
                <w:color w:val="050505"/>
              </w:rPr>
            </w:pPr>
            <w:r>
              <w:rPr>
                <w:rFonts w:ascii="Segoe UI Historic" w:eastAsia="Segoe UI Historic" w:hAnsi="Segoe UI Historic" w:cs="Segoe UI Historic"/>
                <w:b/>
                <w:bCs/>
                <w:color w:val="050505"/>
              </w:rPr>
              <w:t xml:space="preserve">I </w:t>
            </w:r>
            <w:proofErr w:type="gramStart"/>
            <w:r>
              <w:rPr>
                <w:rFonts w:ascii="Segoe UI Historic" w:eastAsia="Segoe UI Historic" w:hAnsi="Segoe UI Historic" w:cs="Segoe UI Historic"/>
                <w:b/>
                <w:bCs/>
                <w:color w:val="050505"/>
              </w:rPr>
              <w:t>was sent this creative opportunity by my Subject Association and felt that some of you would be interested in it</w:t>
            </w:r>
            <w:proofErr w:type="gramEnd"/>
            <w:r>
              <w:rPr>
                <w:rFonts w:ascii="Segoe UI Historic" w:eastAsia="Segoe UI Historic" w:hAnsi="Segoe UI Historic" w:cs="Segoe UI Historic"/>
                <w:b/>
                <w:bCs/>
                <w:color w:val="050505"/>
              </w:rPr>
              <w:t xml:space="preserve">. I would encourage those of you going on to creative courses at college especially to consider participating in this online exhibition. This must be an original piece made since school finished so abruptly and not something </w:t>
            </w:r>
            <w:proofErr w:type="gramStart"/>
            <w:r>
              <w:rPr>
                <w:rFonts w:ascii="Segoe UI Historic" w:eastAsia="Segoe UI Historic" w:hAnsi="Segoe UI Historic" w:cs="Segoe UI Historic"/>
                <w:b/>
                <w:bCs/>
                <w:color w:val="050505"/>
              </w:rPr>
              <w:t>you created for either</w:t>
            </w:r>
            <w:proofErr w:type="gramEnd"/>
            <w:r>
              <w:rPr>
                <w:rFonts w:ascii="Segoe UI Historic" w:eastAsia="Segoe UI Historic" w:hAnsi="Segoe UI Historic" w:cs="Segoe UI Historic"/>
                <w:b/>
                <w:bCs/>
                <w:color w:val="050505"/>
              </w:rPr>
              <w:t xml:space="preserve"> your coursework or you’re your 10hr practical. </w:t>
            </w:r>
            <w:proofErr w:type="gramStart"/>
            <w:r>
              <w:rPr>
                <w:rFonts w:ascii="Segoe UI Historic" w:eastAsia="Segoe UI Historic" w:hAnsi="Segoe UI Historic" w:cs="Segoe UI Historic"/>
                <w:b/>
                <w:bCs/>
                <w:color w:val="050505"/>
              </w:rPr>
              <w:t>Also</w:t>
            </w:r>
            <w:proofErr w:type="gramEnd"/>
            <w:r>
              <w:rPr>
                <w:rFonts w:ascii="Segoe UI Historic" w:eastAsia="Segoe UI Historic" w:hAnsi="Segoe UI Historic" w:cs="Segoe UI Historic"/>
                <w:b/>
                <w:bCs/>
                <w:color w:val="050505"/>
              </w:rPr>
              <w:t xml:space="preserve"> keep an eye out for communications from your chosen college as they may well get in touch with transition work for you to complete.</w:t>
            </w:r>
          </w:p>
          <w:p>
            <w:pPr>
              <w:rPr>
                <w:rFonts w:ascii="Segoe UI Historic" w:eastAsia="Segoe UI Historic" w:hAnsi="Segoe UI Historic" w:cs="Segoe UI Historic"/>
                <w:b/>
                <w:bCs/>
                <w:color w:val="050505"/>
              </w:rPr>
            </w:pPr>
          </w:p>
          <w:p>
            <w:pPr>
              <w:rPr>
                <w:rFonts w:ascii="Segoe UI Historic" w:eastAsia="Segoe UI Historic" w:hAnsi="Segoe UI Historic" w:cs="Segoe UI Historic"/>
                <w:color w:val="050505"/>
              </w:rPr>
            </w:pPr>
            <w:r>
              <w:rPr>
                <w:rFonts w:ascii="Segoe UI Historic" w:eastAsia="Segoe UI Historic" w:hAnsi="Segoe UI Historic" w:cs="Segoe UI Historic"/>
                <w:b/>
                <w:bCs/>
                <w:color w:val="050505"/>
              </w:rPr>
              <w:t>The Life After... Lockdown Project is now live</w:t>
            </w:r>
            <w:r>
              <w:rPr>
                <w:rFonts w:ascii="Segoe UI Historic" w:eastAsia="Segoe UI Historic" w:hAnsi="Segoe UI Historic" w:cs="Segoe UI Historic"/>
                <w:color w:val="050505"/>
              </w:rPr>
              <w:t xml:space="preserve">. Art &amp; Design students across the UK </w:t>
            </w:r>
            <w:proofErr w:type="gramStart"/>
            <w:r>
              <w:rPr>
                <w:rFonts w:ascii="Segoe UI Historic" w:eastAsia="Segoe UI Historic" w:hAnsi="Segoe UI Historic" w:cs="Segoe UI Historic"/>
                <w:color w:val="050505"/>
              </w:rPr>
              <w:t>are being given</w:t>
            </w:r>
            <w:proofErr w:type="gramEnd"/>
            <w:r>
              <w:rPr>
                <w:rFonts w:ascii="Segoe UI Historic" w:eastAsia="Segoe UI Historic" w:hAnsi="Segoe UI Historic" w:cs="Segoe UI Historic"/>
                <w:color w:val="050505"/>
              </w:rPr>
              <w:t xml:space="preserve"> the opportunity to participate in an online exhibition, with the launch of the Life After Lockdown Project, developed in partnership with NSEAD. Students, aged 16-19 </w:t>
            </w:r>
            <w:proofErr w:type="gramStart"/>
            <w:r>
              <w:rPr>
                <w:rFonts w:ascii="Segoe UI Historic" w:eastAsia="Segoe UI Historic" w:hAnsi="Segoe UI Historic" w:cs="Segoe UI Historic"/>
                <w:color w:val="050505"/>
              </w:rPr>
              <w:t>missed out on</w:t>
            </w:r>
            <w:proofErr w:type="gramEnd"/>
            <w:r>
              <w:rPr>
                <w:rFonts w:ascii="Segoe UI Historic" w:eastAsia="Segoe UI Historic" w:hAnsi="Segoe UI Historic" w:cs="Segoe UI Historic"/>
                <w:color w:val="050505"/>
              </w:rPr>
              <w:t xml:space="preserve"> completing their GCSE or ‘A’ level courses when their term was cut short and exams cancelled due to the Coronavirus outbreak, this project invites them to show work they have created during 'lockdown'.</w:t>
            </w:r>
          </w:p>
          <w:p>
            <w:pPr>
              <w:rPr>
                <w:rFonts w:ascii="Segoe UI Historic" w:eastAsia="Segoe UI Historic" w:hAnsi="Segoe UI Historic" w:cs="Segoe UI Historic"/>
                <w:color w:val="050505"/>
              </w:rPr>
            </w:pPr>
          </w:p>
          <w:p>
            <w:pPr>
              <w:rPr>
                <w:rFonts w:ascii="Segoe UI Historic" w:eastAsia="Segoe UI Historic" w:hAnsi="Segoe UI Historic" w:cs="Segoe UI Historic"/>
                <w:color w:val="050505"/>
              </w:rPr>
            </w:pPr>
            <w:r>
              <w:rPr>
                <w:rFonts w:ascii="Segoe UI Historic" w:eastAsia="Segoe UI Historic" w:hAnsi="Segoe UI Historic" w:cs="Segoe UI Historic"/>
                <w:color w:val="050505"/>
              </w:rPr>
              <w:t xml:space="preserve">The project asks you to imagine life after the Lockdown and seeks to gain your unique perspective on </w:t>
            </w:r>
            <w:proofErr w:type="gramStart"/>
            <w:r>
              <w:rPr>
                <w:rFonts w:ascii="Segoe UI Historic" w:eastAsia="Segoe UI Historic" w:hAnsi="Segoe UI Historic" w:cs="Segoe UI Historic"/>
                <w:color w:val="050505"/>
              </w:rPr>
              <w:t>the Coronavirus and how life may change in the aftermath</w:t>
            </w:r>
            <w:proofErr w:type="gramEnd"/>
            <w:r>
              <w:rPr>
                <w:rFonts w:ascii="Segoe UI Historic" w:eastAsia="Segoe UI Historic" w:hAnsi="Segoe UI Historic" w:cs="Segoe UI Historic"/>
                <w:color w:val="050505"/>
              </w:rPr>
              <w:t>.</w:t>
            </w:r>
          </w:p>
          <w:p>
            <w:pPr>
              <w:rPr>
                <w:rFonts w:ascii="Segoe UI Historic" w:eastAsia="Segoe UI Historic" w:hAnsi="Segoe UI Historic" w:cs="Segoe UI Historic"/>
                <w:color w:val="050505"/>
              </w:rPr>
            </w:pPr>
            <w:r>
              <w:rPr>
                <w:rFonts w:ascii="Segoe UI Historic" w:eastAsia="Segoe UI Historic" w:hAnsi="Segoe UI Historic" w:cs="Segoe UI Historic"/>
                <w:color w:val="050505"/>
              </w:rPr>
              <w:t>‘For some young people, the experience of lockdown will be profound. They may have endured loss, anxiety and grief. They may also have witnessed or taken part in acts of love and selfless acts of great kindness, compassion and care.’ The project provides a means for students to share their hopes and vision for the future after lockdown, through their creative practice and the work they produce in response to events.</w:t>
            </w:r>
          </w:p>
          <w:p>
            <w:pPr>
              <w:rPr>
                <w:rFonts w:ascii="Segoe UI Historic" w:eastAsia="Segoe UI Historic" w:hAnsi="Segoe UI Historic" w:cs="Segoe UI Historic"/>
              </w:rPr>
            </w:pPr>
          </w:p>
          <w:p>
            <w:pPr>
              <w:rPr>
                <w:rFonts w:ascii="Segoe UI Historic" w:eastAsia="Segoe UI Historic" w:hAnsi="Segoe UI Historic" w:cs="Segoe UI Historic"/>
              </w:rPr>
            </w:pPr>
            <w:r>
              <w:rPr>
                <w:rFonts w:ascii="Segoe UI Historic" w:eastAsia="Segoe UI Historic" w:hAnsi="Segoe UI Historic" w:cs="Segoe UI Historic"/>
              </w:rPr>
              <w:t xml:space="preserve">More information can be found by following this link: </w:t>
            </w:r>
            <w:hyperlink r:id="rId18">
              <w:r>
                <w:rPr>
                  <w:rStyle w:val="Hyperlink"/>
                  <w:rFonts w:ascii="Segoe UI Historic" w:eastAsia="Segoe UI Historic" w:hAnsi="Segoe UI Historic" w:cs="Segoe UI Historic"/>
                </w:rPr>
                <w:t>https://www.nsead.org/resources/life-after-lockdown/?fbclid=IwAR1pSsviWa03dJmWraMfVt7J2lFRPxoMh10IdPvlGMESUHe3CSA2ffhAC3A</w:t>
              </w:r>
            </w:hyperlink>
          </w:p>
          <w:p>
            <w:pPr>
              <w:rPr>
                <w:rFonts w:ascii="Segoe UI Historic" w:eastAsia="Segoe UI Historic" w:hAnsi="Segoe UI Historic" w:cs="Segoe UI Historic"/>
              </w:rPr>
            </w:pPr>
          </w:p>
        </w:tc>
      </w:tr>
      <w:tr>
        <w:trPr>
          <w:trHeight w:val="1582"/>
        </w:trPr>
        <w:tc>
          <w:tcPr>
            <w:tcW w:w="1398" w:type="dxa"/>
          </w:tcPr>
          <w:p>
            <w:pPr>
              <w:jc w:val="center"/>
              <w:rPr>
                <w:b/>
              </w:rPr>
            </w:pPr>
            <w:r>
              <w:rPr>
                <w:b/>
              </w:rPr>
              <w:t>Technology</w:t>
            </w:r>
          </w:p>
        </w:tc>
        <w:tc>
          <w:tcPr>
            <w:tcW w:w="20963" w:type="dxa"/>
            <w:gridSpan w:val="7"/>
            <w:shd w:val="clear" w:color="auto" w:fill="auto"/>
          </w:tcPr>
          <w:p>
            <w:pPr>
              <w:spacing w:line="259" w:lineRule="auto"/>
              <w:jc w:val="center"/>
              <w:rPr>
                <w:rFonts w:ascii="Calibri" w:eastAsia="Calibri" w:hAnsi="Calibri" w:cs="Calibri"/>
              </w:rPr>
            </w:pPr>
          </w:p>
          <w:p>
            <w:pPr>
              <w:spacing w:line="259" w:lineRule="auto"/>
              <w:rPr>
                <w:rFonts w:ascii="Calibri" w:eastAsia="Calibri" w:hAnsi="Calibri" w:cs="Calibri"/>
              </w:rPr>
            </w:pPr>
            <w:r>
              <w:rPr>
                <w:rFonts w:ascii="Calibri" w:eastAsia="Calibri" w:hAnsi="Calibri" w:cs="Calibri"/>
                <w:b/>
                <w:bCs/>
              </w:rPr>
              <w:t xml:space="preserve">Use resources on Teams (Design Technology - GCSE) look under Revision Materials, and work through each of the units. Each unit in turn is sub divided giving you many of hours of self-learning using the PowerPoints and then completing the worksheets and homework sheets as sample questions. There are answer sheets included </w:t>
            </w:r>
            <w:proofErr w:type="gramStart"/>
            <w:r>
              <w:rPr>
                <w:rFonts w:ascii="Calibri" w:eastAsia="Calibri" w:hAnsi="Calibri" w:cs="Calibri"/>
                <w:b/>
                <w:bCs/>
              </w:rPr>
              <w:t>to</w:t>
            </w:r>
            <w:proofErr w:type="gramEnd"/>
            <w:r>
              <w:rPr>
                <w:rFonts w:ascii="Calibri" w:eastAsia="Calibri" w:hAnsi="Calibri" w:cs="Calibri"/>
                <w:b/>
                <w:bCs/>
              </w:rPr>
              <w:t xml:space="preserve">. Used responsibly this allow you to self-check your learning. There are even some sample GCSE papers for you to have a go </w:t>
            </w:r>
            <w:proofErr w:type="gramStart"/>
            <w:r>
              <w:rPr>
                <w:rFonts w:ascii="Calibri" w:eastAsia="Calibri" w:hAnsi="Calibri" w:cs="Calibri"/>
                <w:b/>
                <w:bCs/>
              </w:rPr>
              <w:t>at</w:t>
            </w:r>
            <w:proofErr w:type="gramEnd"/>
            <w:r>
              <w:rPr>
                <w:rFonts w:ascii="Calibri" w:eastAsia="Calibri" w:hAnsi="Calibri" w:cs="Calibri"/>
                <w:b/>
                <w:bCs/>
              </w:rPr>
              <w:t>.</w:t>
            </w:r>
          </w:p>
          <w:p>
            <w:pPr>
              <w:jc w:val="center"/>
              <w:rPr>
                <w:b/>
                <w:bCs/>
              </w:rPr>
            </w:pPr>
          </w:p>
        </w:tc>
      </w:tr>
      <w:tr>
        <w:trPr>
          <w:trHeight w:val="1846"/>
        </w:trPr>
        <w:tc>
          <w:tcPr>
            <w:tcW w:w="1398" w:type="dxa"/>
          </w:tcPr>
          <w:p>
            <w:pPr>
              <w:jc w:val="center"/>
              <w:rPr>
                <w:b/>
              </w:rPr>
            </w:pPr>
            <w:r>
              <w:rPr>
                <w:b/>
              </w:rPr>
              <w:t>Graphics</w:t>
            </w:r>
          </w:p>
        </w:tc>
        <w:tc>
          <w:tcPr>
            <w:tcW w:w="20963" w:type="dxa"/>
            <w:gridSpan w:val="7"/>
            <w:shd w:val="clear" w:color="auto" w:fill="auto"/>
          </w:tcPr>
          <w:p>
            <w:pPr>
              <w:jc w:val="center"/>
              <w:rPr>
                <w:b/>
              </w:rPr>
            </w:pPr>
          </w:p>
        </w:tc>
      </w:tr>
      <w:tr>
        <w:trPr>
          <w:trHeight w:val="1846"/>
        </w:trPr>
        <w:tc>
          <w:tcPr>
            <w:tcW w:w="1398" w:type="dxa"/>
          </w:tcPr>
          <w:p>
            <w:pPr>
              <w:jc w:val="center"/>
              <w:rPr>
                <w:b/>
              </w:rPr>
            </w:pPr>
            <w:r>
              <w:rPr>
                <w:b/>
              </w:rPr>
              <w:lastRenderedPageBreak/>
              <w:t>Health &amp; Social Care</w:t>
            </w:r>
          </w:p>
        </w:tc>
        <w:tc>
          <w:tcPr>
            <w:tcW w:w="20963" w:type="dxa"/>
            <w:gridSpan w:val="7"/>
            <w:shd w:val="clear" w:color="auto" w:fill="auto"/>
          </w:tcPr>
          <w:p>
            <w:pPr>
              <w:jc w:val="center"/>
              <w:rPr>
                <w:b/>
              </w:rPr>
            </w:pPr>
          </w:p>
        </w:tc>
      </w:tr>
      <w:tr>
        <w:trPr>
          <w:trHeight w:val="1846"/>
        </w:trPr>
        <w:tc>
          <w:tcPr>
            <w:tcW w:w="1398" w:type="dxa"/>
          </w:tcPr>
          <w:p>
            <w:pPr>
              <w:jc w:val="center"/>
              <w:rPr>
                <w:b/>
              </w:rPr>
            </w:pPr>
            <w:r>
              <w:rPr>
                <w:b/>
              </w:rPr>
              <w:t>Performance</w:t>
            </w:r>
          </w:p>
        </w:tc>
        <w:tc>
          <w:tcPr>
            <w:tcW w:w="20963" w:type="dxa"/>
            <w:gridSpan w:val="7"/>
            <w:shd w:val="clear" w:color="auto" w:fill="auto"/>
          </w:tcPr>
          <w:p>
            <w:pPr>
              <w:rPr>
                <w:rFonts w:eastAsiaTheme="minorEastAsia"/>
                <w:b/>
                <w:bCs/>
              </w:rPr>
            </w:pPr>
            <w:r>
              <w:rPr>
                <w:rFonts w:eastAsiaTheme="minorEastAsia"/>
                <w:b/>
                <w:bCs/>
              </w:rPr>
              <w:t>Continue to work on your Unit 1: Portfolio.</w:t>
            </w:r>
          </w:p>
          <w:p>
            <w:pPr>
              <w:rPr>
                <w:rFonts w:eastAsiaTheme="minorEastAsia"/>
              </w:rPr>
            </w:pPr>
            <w:r>
              <w:rPr>
                <w:rFonts w:eastAsiaTheme="minorEastAsia"/>
              </w:rPr>
              <w:t xml:space="preserve">The following must be included: Skills Audit: table of skills completed, audit questions answered. </w:t>
            </w:r>
          </w:p>
          <w:p>
            <w:pPr>
              <w:rPr>
                <w:rFonts w:eastAsiaTheme="minorEastAsia"/>
              </w:rPr>
            </w:pPr>
            <w:r>
              <w:rPr>
                <w:rFonts w:eastAsiaTheme="minorEastAsia"/>
              </w:rPr>
              <w:t xml:space="preserve">Targets: what do you want to achieve in this course? </w:t>
            </w:r>
          </w:p>
          <w:p>
            <w:pPr>
              <w:rPr>
                <w:rFonts w:eastAsiaTheme="minorEastAsia"/>
              </w:rPr>
            </w:pPr>
            <w:r>
              <w:rPr>
                <w:rFonts w:eastAsiaTheme="minorEastAsia"/>
              </w:rPr>
              <w:t xml:space="preserve">Critical review of practical workshops: a write up of at least 3 worksheets that you have taken part </w:t>
            </w:r>
            <w:proofErr w:type="gramStart"/>
            <w:r>
              <w:rPr>
                <w:rFonts w:eastAsiaTheme="minorEastAsia"/>
              </w:rPr>
              <w:t>in</w:t>
            </w:r>
            <w:proofErr w:type="gramEnd"/>
            <w:r>
              <w:rPr>
                <w:rFonts w:eastAsiaTheme="minorEastAsia"/>
              </w:rPr>
              <w:t>.</w:t>
            </w:r>
          </w:p>
          <w:p>
            <w:pPr>
              <w:rPr>
                <w:rFonts w:eastAsiaTheme="minorEastAsia"/>
              </w:rPr>
            </w:pPr>
            <w:r>
              <w:rPr>
                <w:rFonts w:eastAsiaTheme="minorEastAsia"/>
              </w:rPr>
              <w:t>Research on performing arts industry: use information from your folders, use Future U work</w:t>
            </w:r>
          </w:p>
          <w:p>
            <w:pPr>
              <w:rPr>
                <w:rFonts w:eastAsiaTheme="minorEastAsia"/>
              </w:rPr>
            </w:pPr>
            <w:r>
              <w:rPr>
                <w:rFonts w:eastAsiaTheme="minorEastAsia"/>
              </w:rPr>
              <w:t xml:space="preserve">Research and development ideas for the pitch: ideas sheet for pitch, notes, sheets, </w:t>
            </w:r>
            <w:proofErr w:type="spellStart"/>
            <w:proofErr w:type="gramStart"/>
            <w:r>
              <w:rPr>
                <w:rFonts w:eastAsiaTheme="minorEastAsia"/>
              </w:rPr>
              <w:t>powerpoints</w:t>
            </w:r>
            <w:proofErr w:type="spellEnd"/>
            <w:proofErr w:type="gramEnd"/>
            <w:r>
              <w:rPr>
                <w:rFonts w:eastAsiaTheme="minorEastAsia"/>
              </w:rPr>
              <w:t xml:space="preserve"> annotated.</w:t>
            </w:r>
          </w:p>
          <w:p>
            <w:pPr>
              <w:rPr>
                <w:rFonts w:eastAsiaTheme="minorEastAsia"/>
              </w:rPr>
            </w:pPr>
            <w:r>
              <w:rPr>
                <w:rFonts w:eastAsiaTheme="minorEastAsia"/>
              </w:rPr>
              <w:t>Planning and Budgeting: how you budgeted for the performance.</w:t>
            </w:r>
          </w:p>
          <w:p>
            <w:pPr>
              <w:rPr>
                <w:rFonts w:eastAsiaTheme="minorEastAsia"/>
              </w:rPr>
            </w:pPr>
            <w:r>
              <w:rPr>
                <w:rFonts w:eastAsiaTheme="minorEastAsia"/>
              </w:rPr>
              <w:t xml:space="preserve">Roles &amp; Responsibilities: what jobs did everyone do on your </w:t>
            </w:r>
            <w:proofErr w:type="gramStart"/>
            <w:r>
              <w:rPr>
                <w:rFonts w:eastAsiaTheme="minorEastAsia"/>
              </w:rPr>
              <w:t>group.</w:t>
            </w:r>
            <w:proofErr w:type="gramEnd"/>
          </w:p>
          <w:p>
            <w:pPr>
              <w:rPr>
                <w:rFonts w:eastAsiaTheme="minorEastAsia"/>
              </w:rPr>
            </w:pPr>
            <w:r>
              <w:rPr>
                <w:rFonts w:eastAsiaTheme="minorEastAsia"/>
              </w:rPr>
              <w:t>Summary and evaluation of the pitch. How did the presentation go? How did you feel afterwards?</w:t>
            </w:r>
          </w:p>
          <w:p>
            <w:pPr>
              <w:rPr>
                <w:rFonts w:eastAsiaTheme="minorEastAsia"/>
              </w:rPr>
            </w:pPr>
            <w:r>
              <w:rPr>
                <w:rFonts w:eastAsiaTheme="minorEastAsia"/>
              </w:rPr>
              <w:t>What would you improve if you could do it again?</w:t>
            </w:r>
          </w:p>
          <w:p>
            <w:pPr>
              <w:rPr>
                <w:rFonts w:eastAsiaTheme="minorEastAsia"/>
              </w:rPr>
            </w:pPr>
            <w:r>
              <w:rPr>
                <w:rFonts w:eastAsiaTheme="minorEastAsia"/>
              </w:rPr>
              <w:t xml:space="preserve">Supporting Evidence: drawings, diagrams, notes, PPT </w:t>
            </w:r>
            <w:proofErr w:type="spellStart"/>
            <w:r>
              <w:rPr>
                <w:rFonts w:eastAsiaTheme="minorEastAsia"/>
              </w:rPr>
              <w:t>etc</w:t>
            </w:r>
            <w:proofErr w:type="spellEnd"/>
          </w:p>
          <w:p>
            <w:pPr>
              <w:rPr>
                <w:rFonts w:eastAsiaTheme="minorEastAsia"/>
              </w:rPr>
            </w:pPr>
            <w:r>
              <w:rPr>
                <w:rFonts w:eastAsiaTheme="minorEastAsia"/>
              </w:rPr>
              <w:t>Anything you complete please email to Mrs McLeod or save in the Teams folder in Completed Work</w:t>
            </w:r>
          </w:p>
        </w:tc>
      </w:tr>
      <w:tr>
        <w:trPr>
          <w:trHeight w:val="1846"/>
        </w:trPr>
        <w:tc>
          <w:tcPr>
            <w:tcW w:w="1398" w:type="dxa"/>
          </w:tcPr>
          <w:p>
            <w:pPr>
              <w:jc w:val="center"/>
              <w:rPr>
                <w:b/>
              </w:rPr>
            </w:pPr>
            <w:r>
              <w:rPr>
                <w:b/>
              </w:rPr>
              <w:t>GCSE PE</w:t>
            </w:r>
          </w:p>
        </w:tc>
        <w:tc>
          <w:tcPr>
            <w:tcW w:w="20963" w:type="dxa"/>
            <w:gridSpan w:val="7"/>
            <w:shd w:val="clear" w:color="auto" w:fill="auto"/>
          </w:tcPr>
          <w:p>
            <w:pPr>
              <w:jc w:val="center"/>
              <w:rPr>
                <w:b/>
              </w:rPr>
            </w:pPr>
          </w:p>
        </w:tc>
      </w:tr>
      <w:tr>
        <w:trPr>
          <w:trHeight w:val="1846"/>
        </w:trPr>
        <w:tc>
          <w:tcPr>
            <w:tcW w:w="1398" w:type="dxa"/>
          </w:tcPr>
          <w:p>
            <w:pPr>
              <w:jc w:val="center"/>
              <w:rPr>
                <w:b/>
              </w:rPr>
            </w:pPr>
            <w:r>
              <w:rPr>
                <w:b/>
              </w:rPr>
              <w:t>Sport</w:t>
            </w:r>
          </w:p>
        </w:tc>
        <w:tc>
          <w:tcPr>
            <w:tcW w:w="20963" w:type="dxa"/>
            <w:gridSpan w:val="7"/>
            <w:shd w:val="clear" w:color="auto" w:fill="auto"/>
          </w:tcPr>
          <w:p>
            <w:pPr>
              <w:jc w:val="center"/>
              <w:rPr>
                <w:b/>
              </w:rPr>
            </w:pPr>
          </w:p>
        </w:tc>
      </w:tr>
      <w:tr>
        <w:trPr>
          <w:trHeight w:val="1932"/>
        </w:trPr>
        <w:tc>
          <w:tcPr>
            <w:tcW w:w="1398" w:type="dxa"/>
          </w:tcPr>
          <w:p>
            <w:pPr>
              <w:jc w:val="center"/>
              <w:rPr>
                <w:b/>
              </w:rPr>
            </w:pPr>
            <w:r>
              <w:rPr>
                <w:b/>
              </w:rPr>
              <w:t>Core</w:t>
            </w:r>
          </w:p>
          <w:p>
            <w:pPr>
              <w:jc w:val="center"/>
              <w:rPr>
                <w:b/>
              </w:rPr>
            </w:pPr>
            <w:r>
              <w:rPr>
                <w:b/>
              </w:rPr>
              <w:t>PE</w:t>
            </w:r>
          </w:p>
        </w:tc>
        <w:tc>
          <w:tcPr>
            <w:tcW w:w="20963" w:type="dxa"/>
            <w:gridSpan w:val="7"/>
            <w:shd w:val="clear" w:color="auto" w:fill="auto"/>
          </w:tcPr>
          <w:p>
            <w:pPr>
              <w:pStyle w:val="ListParagraph"/>
              <w:numPr>
                <w:ilvl w:val="0"/>
                <w:numId w:val="1"/>
              </w:numPr>
            </w:pPr>
            <w:r>
              <w:t xml:space="preserve">Keep getting up and starting the day with Joe Wicks on </w:t>
            </w:r>
            <w:proofErr w:type="spellStart"/>
            <w:r>
              <w:t>Youtube</w:t>
            </w:r>
            <w:proofErr w:type="spellEnd"/>
          </w:p>
          <w:p>
            <w:pPr>
              <w:pStyle w:val="ListParagraph"/>
            </w:pPr>
            <w:r>
              <w:t>or</w:t>
            </w:r>
          </w:p>
          <w:p>
            <w:pPr>
              <w:pStyle w:val="ListParagraph"/>
              <w:numPr>
                <w:ilvl w:val="0"/>
                <w:numId w:val="1"/>
              </w:numPr>
            </w:pPr>
            <w:r>
              <w:t xml:space="preserve">Try a sally up challenge (see week two and </w:t>
            </w:r>
            <w:proofErr w:type="spellStart"/>
            <w:r>
              <w:t>youtube</w:t>
            </w:r>
            <w:proofErr w:type="spellEnd"/>
            <w:r>
              <w:t xml:space="preserve"> vid)</w:t>
            </w:r>
          </w:p>
          <w:p>
            <w:pPr>
              <w:pStyle w:val="ListParagraph"/>
            </w:pPr>
            <w:r>
              <w:t>or</w:t>
            </w:r>
          </w:p>
          <w:p>
            <w:pPr>
              <w:pStyle w:val="ListParagraph"/>
              <w:numPr>
                <w:ilvl w:val="0"/>
                <w:numId w:val="1"/>
              </w:numPr>
            </w:pPr>
            <w:r>
              <w:t>Try a new fitness app</w:t>
            </w:r>
          </w:p>
          <w:p>
            <w:pPr>
              <w:pStyle w:val="ListParagraph"/>
            </w:pPr>
            <w:r>
              <w:t>or</w:t>
            </w:r>
          </w:p>
          <w:p>
            <w:pPr>
              <w:pStyle w:val="ListParagraph"/>
              <w:numPr>
                <w:ilvl w:val="0"/>
                <w:numId w:val="1"/>
              </w:numPr>
            </w:pPr>
            <w:r>
              <w:t xml:space="preserve">Smash my 2.6k time or set your own and beat it. (see </w:t>
            </w:r>
            <w:proofErr w:type="spellStart"/>
            <w:r>
              <w:t>youtube</w:t>
            </w:r>
            <w:proofErr w:type="spellEnd"/>
            <w:r>
              <w:t xml:space="preserve"> vid)</w:t>
            </w:r>
          </w:p>
          <w:p>
            <w:pPr>
              <w:pStyle w:val="ListParagraph"/>
            </w:pPr>
            <w:r>
              <w:t>or</w:t>
            </w:r>
          </w:p>
          <w:p>
            <w:pPr>
              <w:pStyle w:val="ListParagraph"/>
              <w:numPr>
                <w:ilvl w:val="0"/>
                <w:numId w:val="1"/>
              </w:numPr>
            </w:pPr>
            <w:r>
              <w:t xml:space="preserve">Try a skill challenge (week 6) or a different one </w:t>
            </w:r>
          </w:p>
          <w:p>
            <w:pPr>
              <w:pStyle w:val="ListParagraph"/>
            </w:pPr>
            <w:r>
              <w:t>or</w:t>
            </w:r>
          </w:p>
          <w:p>
            <w:pPr>
              <w:pStyle w:val="ListParagraph"/>
              <w:numPr>
                <w:ilvl w:val="0"/>
                <w:numId w:val="1"/>
              </w:numPr>
            </w:pPr>
            <w:r>
              <w:t>Discover a great sports documentary and let us know about it</w:t>
            </w:r>
          </w:p>
        </w:tc>
      </w:tr>
      <w:tr>
        <w:trPr>
          <w:trHeight w:val="1932"/>
        </w:trPr>
        <w:tc>
          <w:tcPr>
            <w:tcW w:w="1398" w:type="dxa"/>
          </w:tcPr>
          <w:p>
            <w:pPr>
              <w:jc w:val="center"/>
              <w:rPr>
                <w:b/>
                <w:bCs/>
              </w:rPr>
            </w:pPr>
          </w:p>
          <w:p>
            <w:pPr>
              <w:jc w:val="center"/>
              <w:rPr>
                <w:b/>
                <w:bCs/>
              </w:rPr>
            </w:pPr>
            <w:r>
              <w:rPr>
                <w:b/>
                <w:bCs/>
              </w:rPr>
              <w:t>Preparing for College</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r>
              <w:rPr>
                <w:b/>
                <w:bCs/>
              </w:rPr>
              <w:t xml:space="preserve">Preparing for Work/ Exploring Careers </w:t>
            </w:r>
          </w:p>
          <w:p>
            <w:pPr>
              <w:jc w:val="center"/>
              <w:rPr>
                <w:b/>
                <w:bCs/>
              </w:rPr>
            </w:pPr>
          </w:p>
        </w:tc>
        <w:tc>
          <w:tcPr>
            <w:tcW w:w="20963" w:type="dxa"/>
            <w:gridSpan w:val="7"/>
            <w:shd w:val="clear" w:color="auto" w:fill="auto"/>
          </w:tcPr>
          <w:p>
            <w:pPr>
              <w:spacing w:line="257" w:lineRule="auto"/>
              <w:jc w:val="center"/>
              <w:rPr>
                <w:rFonts w:ascii="Calibri" w:eastAsia="Calibri" w:hAnsi="Calibri" w:cs="Calibri"/>
              </w:rPr>
            </w:pPr>
          </w:p>
          <w:p>
            <w:pPr>
              <w:spacing w:line="257" w:lineRule="auto"/>
              <w:jc w:val="center"/>
            </w:pPr>
            <w:r>
              <w:rPr>
                <w:rFonts w:ascii="Calibri" w:eastAsia="Calibri" w:hAnsi="Calibri" w:cs="Calibri"/>
                <w:color w:val="000000" w:themeColor="text1"/>
                <w:sz w:val="24"/>
                <w:szCs w:val="24"/>
              </w:rPr>
              <w:t xml:space="preserve">Business: </w:t>
            </w:r>
            <w:hyperlink r:id="rId19">
              <w:r>
                <w:rPr>
                  <w:rStyle w:val="Hyperlink"/>
                  <w:rFonts w:ascii="Calibri" w:eastAsia="Calibri" w:hAnsi="Calibri" w:cs="Calibri"/>
                  <w:color w:val="0563C1"/>
                  <w:sz w:val="24"/>
                  <w:szCs w:val="24"/>
                </w:rPr>
                <w:t>https://www.accross.ac.uk/get-college-ready-business/</w:t>
              </w:r>
            </w:hyperlink>
          </w:p>
          <w:p>
            <w:pPr>
              <w:spacing w:line="257" w:lineRule="auto"/>
              <w:jc w:val="center"/>
            </w:pPr>
            <w:r>
              <w:rPr>
                <w:rFonts w:ascii="Calibri" w:eastAsia="Calibri" w:hAnsi="Calibri" w:cs="Calibri"/>
                <w:color w:val="000000" w:themeColor="text1"/>
                <w:sz w:val="24"/>
                <w:szCs w:val="24"/>
              </w:rPr>
              <w:t xml:space="preserve">Construction: </w:t>
            </w:r>
            <w:hyperlink r:id="rId20">
              <w:r>
                <w:rPr>
                  <w:rStyle w:val="Hyperlink"/>
                  <w:rFonts w:ascii="Calibri" w:eastAsia="Calibri" w:hAnsi="Calibri" w:cs="Calibri"/>
                  <w:color w:val="0563C1"/>
                  <w:sz w:val="24"/>
                  <w:szCs w:val="24"/>
                </w:rPr>
                <w:t>https://www.accross.ac.uk/get-college-ready-construction/</w:t>
              </w:r>
            </w:hyperlink>
          </w:p>
          <w:p>
            <w:pPr>
              <w:spacing w:line="257" w:lineRule="auto"/>
              <w:jc w:val="center"/>
            </w:pPr>
            <w:r>
              <w:rPr>
                <w:rFonts w:ascii="Calibri" w:eastAsia="Calibri" w:hAnsi="Calibri" w:cs="Calibri"/>
                <w:color w:val="000000" w:themeColor="text1"/>
                <w:sz w:val="24"/>
                <w:szCs w:val="24"/>
              </w:rPr>
              <w:t xml:space="preserve">Creative Arts and Media: </w:t>
            </w:r>
            <w:hyperlink r:id="rId21">
              <w:r>
                <w:rPr>
                  <w:rStyle w:val="Hyperlink"/>
                  <w:rFonts w:ascii="Calibri" w:eastAsia="Calibri" w:hAnsi="Calibri" w:cs="Calibri"/>
                  <w:color w:val="0563C1"/>
                  <w:sz w:val="24"/>
                  <w:szCs w:val="24"/>
                </w:rPr>
                <w:t>https://www.accross.ac.uk/get-college-ready-creative-arts-and-media/</w:t>
              </w:r>
            </w:hyperlink>
          </w:p>
          <w:p>
            <w:pPr>
              <w:spacing w:line="257" w:lineRule="auto"/>
              <w:jc w:val="center"/>
            </w:pPr>
            <w:r>
              <w:rPr>
                <w:rFonts w:ascii="Calibri" w:eastAsia="Calibri" w:hAnsi="Calibri" w:cs="Calibri"/>
                <w:color w:val="000000" w:themeColor="text1"/>
                <w:sz w:val="24"/>
                <w:szCs w:val="24"/>
              </w:rPr>
              <w:t xml:space="preserve">Digital: </w:t>
            </w:r>
            <w:hyperlink r:id="rId22">
              <w:r>
                <w:rPr>
                  <w:rStyle w:val="Hyperlink"/>
                  <w:rFonts w:ascii="Calibri" w:eastAsia="Calibri" w:hAnsi="Calibri" w:cs="Calibri"/>
                  <w:color w:val="0563C1"/>
                  <w:sz w:val="24"/>
                  <w:szCs w:val="24"/>
                </w:rPr>
                <w:t>https://www.accross.ac.uk/get-college-ready-digital/</w:t>
              </w:r>
            </w:hyperlink>
          </w:p>
          <w:p>
            <w:pPr>
              <w:spacing w:line="257" w:lineRule="auto"/>
              <w:jc w:val="center"/>
            </w:pPr>
            <w:r>
              <w:rPr>
                <w:rFonts w:ascii="Calibri" w:eastAsia="Calibri" w:hAnsi="Calibri" w:cs="Calibri"/>
                <w:color w:val="000000" w:themeColor="text1"/>
                <w:sz w:val="24"/>
                <w:szCs w:val="24"/>
              </w:rPr>
              <w:t xml:space="preserve">Education and Childcare: </w:t>
            </w:r>
            <w:hyperlink r:id="rId23">
              <w:r>
                <w:rPr>
                  <w:rStyle w:val="Hyperlink"/>
                  <w:rFonts w:ascii="Calibri" w:eastAsia="Calibri" w:hAnsi="Calibri" w:cs="Calibri"/>
                  <w:color w:val="0563C1"/>
                  <w:sz w:val="24"/>
                  <w:szCs w:val="24"/>
                </w:rPr>
                <w:t>https://www.accross.ac.uk/get-college-ready-education-and-childcare/</w:t>
              </w:r>
            </w:hyperlink>
          </w:p>
          <w:p>
            <w:pPr>
              <w:spacing w:line="257" w:lineRule="auto"/>
              <w:jc w:val="center"/>
            </w:pPr>
            <w:r>
              <w:rPr>
                <w:rFonts w:ascii="Calibri" w:eastAsia="Calibri" w:hAnsi="Calibri" w:cs="Calibri"/>
                <w:color w:val="000000" w:themeColor="text1"/>
                <w:sz w:val="24"/>
                <w:szCs w:val="24"/>
              </w:rPr>
              <w:t xml:space="preserve">Hair and Beauty: </w:t>
            </w:r>
            <w:hyperlink r:id="rId24">
              <w:r>
                <w:rPr>
                  <w:rStyle w:val="Hyperlink"/>
                  <w:rFonts w:ascii="Calibri" w:eastAsia="Calibri" w:hAnsi="Calibri" w:cs="Calibri"/>
                  <w:color w:val="0563C1"/>
                  <w:sz w:val="24"/>
                  <w:szCs w:val="24"/>
                </w:rPr>
                <w:t>https://www.accross.ac.uk/get-college-ready-hair-and-beauty/</w:t>
              </w:r>
            </w:hyperlink>
          </w:p>
          <w:p>
            <w:pPr>
              <w:spacing w:line="257" w:lineRule="auto"/>
              <w:jc w:val="center"/>
            </w:pPr>
            <w:r>
              <w:rPr>
                <w:rFonts w:ascii="Calibri" w:eastAsia="Calibri" w:hAnsi="Calibri" w:cs="Calibri"/>
                <w:color w:val="000000" w:themeColor="text1"/>
                <w:sz w:val="24"/>
                <w:szCs w:val="24"/>
              </w:rPr>
              <w:t xml:space="preserve">Health and Social Work Professions: </w:t>
            </w:r>
            <w:hyperlink r:id="rId25">
              <w:r>
                <w:rPr>
                  <w:rStyle w:val="Hyperlink"/>
                  <w:rFonts w:ascii="Calibri" w:eastAsia="Calibri" w:hAnsi="Calibri" w:cs="Calibri"/>
                  <w:color w:val="0563C1"/>
                  <w:sz w:val="24"/>
                  <w:szCs w:val="24"/>
                </w:rPr>
                <w:t>https://www.accross.ac.uk/get-college-ready-health-and-social-work-professions/</w:t>
              </w:r>
            </w:hyperlink>
          </w:p>
          <w:p>
            <w:pPr>
              <w:spacing w:line="257" w:lineRule="auto"/>
              <w:jc w:val="center"/>
            </w:pPr>
            <w:r>
              <w:rPr>
                <w:rFonts w:ascii="Calibri" w:eastAsia="Calibri" w:hAnsi="Calibri" w:cs="Calibri"/>
                <w:color w:val="000000" w:themeColor="text1"/>
                <w:sz w:val="24"/>
                <w:szCs w:val="24"/>
              </w:rPr>
              <w:t xml:space="preserve">Law, Justice and Protective Services: </w:t>
            </w:r>
            <w:hyperlink r:id="rId26">
              <w:r>
                <w:rPr>
                  <w:rStyle w:val="Hyperlink"/>
                  <w:rFonts w:ascii="Calibri" w:eastAsia="Calibri" w:hAnsi="Calibri" w:cs="Calibri"/>
                  <w:color w:val="0563C1"/>
                  <w:sz w:val="24"/>
                  <w:szCs w:val="24"/>
                </w:rPr>
                <w:t>https://www.accross.ac.uk/get-college-ready-law-justice-and-protective-services/</w:t>
              </w:r>
            </w:hyperlink>
          </w:p>
          <w:p>
            <w:pPr>
              <w:spacing w:line="257" w:lineRule="auto"/>
              <w:jc w:val="center"/>
            </w:pPr>
            <w:r>
              <w:rPr>
                <w:rFonts w:ascii="Calibri" w:eastAsia="Calibri" w:hAnsi="Calibri" w:cs="Calibri"/>
                <w:color w:val="000000" w:themeColor="text1"/>
                <w:sz w:val="24"/>
                <w:szCs w:val="24"/>
              </w:rPr>
              <w:t xml:space="preserve">Motor Vehicle: </w:t>
            </w:r>
            <w:hyperlink r:id="rId27">
              <w:r>
                <w:rPr>
                  <w:rStyle w:val="Hyperlink"/>
                  <w:rFonts w:ascii="Calibri" w:eastAsia="Calibri" w:hAnsi="Calibri" w:cs="Calibri"/>
                  <w:color w:val="0563C1"/>
                  <w:sz w:val="24"/>
                  <w:szCs w:val="24"/>
                </w:rPr>
                <w:t>https://www.accross.ac.uk/get-college-ready-motor-vehicle/</w:t>
              </w:r>
            </w:hyperlink>
          </w:p>
          <w:p>
            <w:pPr>
              <w:spacing w:line="257" w:lineRule="auto"/>
              <w:jc w:val="center"/>
            </w:pPr>
            <w:r>
              <w:rPr>
                <w:rFonts w:ascii="Calibri" w:eastAsia="Calibri" w:hAnsi="Calibri" w:cs="Calibri"/>
                <w:color w:val="000000" w:themeColor="text1"/>
                <w:sz w:val="24"/>
                <w:szCs w:val="24"/>
              </w:rPr>
              <w:t xml:space="preserve">Pre-Advanced: </w:t>
            </w:r>
            <w:hyperlink r:id="rId28">
              <w:r>
                <w:rPr>
                  <w:rStyle w:val="Hyperlink"/>
                  <w:rFonts w:ascii="Calibri" w:eastAsia="Calibri" w:hAnsi="Calibri" w:cs="Calibri"/>
                  <w:color w:val="0563C1"/>
                  <w:sz w:val="24"/>
                  <w:szCs w:val="24"/>
                </w:rPr>
                <w:t>https://www.accross.ac.uk/get-college-ready-pre-advanced/</w:t>
              </w:r>
            </w:hyperlink>
          </w:p>
          <w:p>
            <w:pPr>
              <w:spacing w:line="257" w:lineRule="auto"/>
              <w:jc w:val="center"/>
            </w:pPr>
            <w:r>
              <w:rPr>
                <w:rFonts w:ascii="Calibri" w:eastAsia="Calibri" w:hAnsi="Calibri" w:cs="Calibri"/>
                <w:color w:val="000000" w:themeColor="text1"/>
                <w:sz w:val="24"/>
                <w:szCs w:val="24"/>
              </w:rPr>
              <w:lastRenderedPageBreak/>
              <w:t xml:space="preserve">Sport and Sport Sciences: </w:t>
            </w:r>
            <w:hyperlink r:id="rId29">
              <w:r>
                <w:rPr>
                  <w:rStyle w:val="Hyperlink"/>
                  <w:rFonts w:ascii="Calibri" w:eastAsia="Calibri" w:hAnsi="Calibri" w:cs="Calibri"/>
                  <w:color w:val="0563C1"/>
                  <w:sz w:val="24"/>
                  <w:szCs w:val="24"/>
                </w:rPr>
                <w:t>https://www.accross.ac.uk/get-college-ready-sport-and-sport-sciences/</w:t>
              </w:r>
            </w:hyperlink>
          </w:p>
          <w:p>
            <w:pPr>
              <w:spacing w:line="257" w:lineRule="auto"/>
              <w:jc w:val="center"/>
            </w:pPr>
            <w:r>
              <w:rPr>
                <w:rFonts w:ascii="Calibri" w:eastAsia="Calibri" w:hAnsi="Calibri" w:cs="Calibri"/>
                <w:color w:val="000000" w:themeColor="text1"/>
                <w:sz w:val="24"/>
                <w:szCs w:val="24"/>
              </w:rPr>
              <w:t xml:space="preserve">A Levels: </w:t>
            </w:r>
            <w:hyperlink r:id="rId30">
              <w:r>
                <w:rPr>
                  <w:rStyle w:val="Hyperlink"/>
                  <w:rFonts w:ascii="Calibri" w:eastAsia="Calibri" w:hAnsi="Calibri" w:cs="Calibri"/>
                  <w:color w:val="0563C1"/>
                  <w:sz w:val="24"/>
                  <w:szCs w:val="24"/>
                </w:rPr>
                <w:t>https://www.nelson.ac.uk/get-college-ready-a-levels/</w:t>
              </w:r>
            </w:hyperlink>
          </w:p>
          <w:p>
            <w:pPr>
              <w:spacing w:line="257" w:lineRule="auto"/>
              <w:jc w:val="center"/>
            </w:pPr>
            <w:r>
              <w:rPr>
                <w:rFonts w:ascii="Calibri" w:eastAsia="Calibri" w:hAnsi="Calibri" w:cs="Calibri"/>
                <w:color w:val="000000" w:themeColor="text1"/>
                <w:sz w:val="24"/>
                <w:szCs w:val="24"/>
              </w:rPr>
              <w:t xml:space="preserve">Engineering: </w:t>
            </w:r>
            <w:hyperlink r:id="rId31">
              <w:r>
                <w:rPr>
                  <w:rStyle w:val="Hyperlink"/>
                  <w:rFonts w:ascii="Calibri" w:eastAsia="Calibri" w:hAnsi="Calibri" w:cs="Calibri"/>
                  <w:color w:val="0563C1"/>
                  <w:sz w:val="24"/>
                  <w:szCs w:val="24"/>
                </w:rPr>
                <w:t>https://www.nelson.ac.uk/get-college-ready-engineering/</w:t>
              </w:r>
            </w:hyperlink>
          </w:p>
          <w:p>
            <w:pPr>
              <w:spacing w:line="257" w:lineRule="auto"/>
              <w:jc w:val="center"/>
            </w:pPr>
            <w:r>
              <w:rPr>
                <w:rFonts w:ascii="Calibri" w:eastAsia="Calibri" w:hAnsi="Calibri" w:cs="Calibri"/>
                <w:color w:val="000000" w:themeColor="text1"/>
                <w:sz w:val="24"/>
                <w:szCs w:val="24"/>
              </w:rPr>
              <w:t xml:space="preserve">Science: </w:t>
            </w:r>
            <w:hyperlink r:id="rId32">
              <w:r>
                <w:rPr>
                  <w:rStyle w:val="Hyperlink"/>
                  <w:rFonts w:ascii="Calibri" w:eastAsia="Calibri" w:hAnsi="Calibri" w:cs="Calibri"/>
                  <w:color w:val="0563C1"/>
                  <w:sz w:val="24"/>
                  <w:szCs w:val="24"/>
                </w:rPr>
                <w:t>https://www.nelson.ac.uk/get-college-ready-science/</w:t>
              </w:r>
            </w:hyperlink>
          </w:p>
          <w:p>
            <w:pPr>
              <w:spacing w:line="257" w:lineRule="auto"/>
              <w:jc w:val="center"/>
              <w:rPr>
                <w:rFonts w:ascii="Calibri" w:eastAsia="Calibri" w:hAnsi="Calibri" w:cs="Calibri"/>
                <w:b/>
                <w:bCs/>
              </w:rPr>
            </w:pPr>
          </w:p>
          <w:p>
            <w:pPr>
              <w:spacing w:line="257" w:lineRule="auto"/>
              <w:jc w:val="center"/>
            </w:pPr>
            <w:r>
              <w:rPr>
                <w:rFonts w:ascii="Calibri" w:eastAsia="Calibri" w:hAnsi="Calibri" w:cs="Calibri"/>
                <w:color w:val="201F1E"/>
                <w:sz w:val="21"/>
                <w:szCs w:val="21"/>
              </w:rPr>
              <w:t xml:space="preserve">Cardinal Newman - Newman Beginnings Link - </w:t>
            </w:r>
            <w:hyperlink r:id="rId33">
              <w:r>
                <w:rPr>
                  <w:rStyle w:val="Hyperlink"/>
                  <w:rFonts w:ascii="Calibri" w:eastAsia="Calibri" w:hAnsi="Calibri" w:cs="Calibri"/>
                  <w:color w:val="0000FF"/>
                  <w:sz w:val="21"/>
                  <w:szCs w:val="21"/>
                </w:rPr>
                <w:t>https://www.cardinalnewman.ac.uk/school-leavers/newman-beginnings/</w:t>
              </w:r>
            </w:hyperlink>
          </w:p>
          <w:p>
            <w:pPr>
              <w:spacing w:line="257" w:lineRule="auto"/>
              <w:jc w:val="center"/>
            </w:pPr>
            <w:proofErr w:type="spellStart"/>
            <w:r>
              <w:rPr>
                <w:rFonts w:ascii="Calibri" w:eastAsia="Calibri" w:hAnsi="Calibri" w:cs="Calibri"/>
                <w:sz w:val="21"/>
                <w:szCs w:val="21"/>
              </w:rPr>
              <w:t>Runshaw</w:t>
            </w:r>
            <w:proofErr w:type="spellEnd"/>
            <w:r>
              <w:rPr>
                <w:rFonts w:ascii="Calibri" w:eastAsia="Calibri" w:hAnsi="Calibri" w:cs="Calibri"/>
                <w:sz w:val="21"/>
                <w:szCs w:val="21"/>
              </w:rPr>
              <w:t xml:space="preserve"> College prep - </w:t>
            </w:r>
            <w:hyperlink r:id="rId34">
              <w:r>
                <w:rPr>
                  <w:rStyle w:val="Hyperlink"/>
                  <w:rFonts w:ascii="Calibri" w:eastAsia="Calibri" w:hAnsi="Calibri" w:cs="Calibri"/>
                  <w:sz w:val="21"/>
                  <w:szCs w:val="21"/>
                </w:rPr>
                <w:t>https://www.runshaw.ac.uk/study-at-runshaw/exciting-links-for-year-11-students/</w:t>
              </w:r>
            </w:hyperlink>
          </w:p>
          <w:p>
            <w:pPr>
              <w:spacing w:line="257" w:lineRule="auto"/>
              <w:jc w:val="center"/>
              <w:rPr>
                <w:rFonts w:ascii="Calibri" w:eastAsia="Calibri" w:hAnsi="Calibri" w:cs="Calibri"/>
                <w:b/>
                <w:bCs/>
              </w:rPr>
            </w:pPr>
          </w:p>
          <w:p>
            <w:pPr>
              <w:spacing w:line="257" w:lineRule="auto"/>
              <w:jc w:val="center"/>
              <w:rPr>
                <w:rFonts w:ascii="Calibri" w:eastAsia="Calibri" w:hAnsi="Calibri" w:cs="Calibri"/>
                <w:b/>
                <w:bCs/>
              </w:rPr>
            </w:pPr>
            <w:r>
              <w:rPr>
                <w:rFonts w:ascii="Calibri" w:eastAsia="Calibri" w:hAnsi="Calibri" w:cs="Calibri"/>
                <w:b/>
                <w:bCs/>
              </w:rPr>
              <w:t xml:space="preserve">Next Steps - </w:t>
            </w:r>
          </w:p>
          <w:p>
            <w:pPr>
              <w:spacing w:line="257" w:lineRule="auto"/>
              <w:jc w:val="center"/>
              <w:rPr>
                <w:rFonts w:ascii="Calibri" w:eastAsia="Calibri" w:hAnsi="Calibri" w:cs="Calibri"/>
                <w:b/>
                <w:bCs/>
              </w:rPr>
            </w:pPr>
            <w:r>
              <w:rPr>
                <w:rFonts w:ascii="Calibri" w:eastAsia="Calibri" w:hAnsi="Calibri" w:cs="Calibri"/>
              </w:rPr>
              <w:t xml:space="preserve">Still unsure what you want to do next? Changing your mind about the </w:t>
            </w:r>
            <w:proofErr w:type="gramStart"/>
            <w:r>
              <w:rPr>
                <w:rFonts w:ascii="Calibri" w:eastAsia="Calibri" w:hAnsi="Calibri" w:cs="Calibri"/>
              </w:rPr>
              <w:t>course</w:t>
            </w:r>
            <w:proofErr w:type="gramEnd"/>
            <w:r>
              <w:rPr>
                <w:rFonts w:ascii="Calibri" w:eastAsia="Calibri" w:hAnsi="Calibri" w:cs="Calibri"/>
              </w:rPr>
              <w:t xml:space="preserve"> you want to go on or career path you have in mind?</w:t>
            </w:r>
          </w:p>
          <w:p>
            <w:pPr>
              <w:spacing w:line="257" w:lineRule="auto"/>
              <w:jc w:val="center"/>
              <w:rPr>
                <w:rFonts w:ascii="Calibri" w:eastAsia="Calibri" w:hAnsi="Calibri" w:cs="Calibri"/>
              </w:rPr>
            </w:pPr>
            <w:r>
              <w:rPr>
                <w:rFonts w:ascii="Calibri" w:eastAsia="Calibri" w:hAnsi="Calibri" w:cs="Calibri"/>
              </w:rPr>
              <w:t>Research your options on Start</w:t>
            </w:r>
          </w:p>
          <w:p>
            <w:pPr>
              <w:spacing w:line="257" w:lineRule="auto"/>
              <w:jc w:val="center"/>
            </w:pPr>
            <w:hyperlink r:id="rId35">
              <w:r>
                <w:rPr>
                  <w:rStyle w:val="Hyperlink"/>
                  <w:rFonts w:ascii="Calibri" w:eastAsia="Calibri" w:hAnsi="Calibri" w:cs="Calibri"/>
                </w:rPr>
                <w:t>https://www.startprofile.com/</w:t>
              </w:r>
            </w:hyperlink>
          </w:p>
          <w:p>
            <w:pPr>
              <w:spacing w:line="257" w:lineRule="auto"/>
              <w:jc w:val="center"/>
              <w:rPr>
                <w:rFonts w:ascii="Calibri" w:eastAsia="Calibri" w:hAnsi="Calibri" w:cs="Calibri"/>
              </w:rPr>
            </w:pPr>
          </w:p>
          <w:p>
            <w:pPr>
              <w:spacing w:line="257" w:lineRule="auto"/>
              <w:jc w:val="center"/>
              <w:rPr>
                <w:rFonts w:ascii="Calibri" w:eastAsia="Calibri" w:hAnsi="Calibri" w:cs="Calibri"/>
              </w:rPr>
            </w:pPr>
            <w:r>
              <w:rPr>
                <w:rFonts w:ascii="Calibri" w:eastAsia="Calibri" w:hAnsi="Calibri" w:cs="Calibri"/>
              </w:rPr>
              <w:t>If you are still struggling please get in touch by emailing me on-</w:t>
            </w:r>
          </w:p>
          <w:p>
            <w:pPr>
              <w:spacing w:line="257" w:lineRule="auto"/>
              <w:jc w:val="center"/>
              <w:rPr>
                <w:rFonts w:ascii="Calibri" w:eastAsia="Calibri" w:hAnsi="Calibri" w:cs="Calibri"/>
              </w:rPr>
            </w:pPr>
            <w:hyperlink r:id="rId36">
              <w:r>
                <w:rPr>
                  <w:rStyle w:val="Hyperlink"/>
                  <w:rFonts w:ascii="Calibri" w:eastAsia="Calibri" w:hAnsi="Calibri" w:cs="Calibri"/>
                </w:rPr>
                <w:t>k.royal@waltonledale.lancs.sch.uk</w:t>
              </w:r>
            </w:hyperlink>
          </w:p>
          <w:p>
            <w:pPr>
              <w:spacing w:line="257" w:lineRule="auto"/>
              <w:jc w:val="center"/>
              <w:rPr>
                <w:rFonts w:ascii="Calibri" w:eastAsia="Calibri" w:hAnsi="Calibri" w:cs="Calibri"/>
              </w:rPr>
            </w:pPr>
            <w:r>
              <w:rPr>
                <w:rFonts w:ascii="Calibri" w:eastAsia="Calibri" w:hAnsi="Calibri" w:cs="Calibri"/>
              </w:rPr>
              <w:t xml:space="preserve"> </w:t>
            </w:r>
          </w:p>
          <w:p>
            <w:pPr>
              <w:spacing w:line="257" w:lineRule="auto"/>
              <w:jc w:val="center"/>
              <w:rPr>
                <w:rFonts w:ascii="Calibri" w:eastAsia="Calibri" w:hAnsi="Calibri" w:cs="Calibri"/>
              </w:rPr>
            </w:pPr>
            <w:proofErr w:type="gramStart"/>
            <w:r>
              <w:rPr>
                <w:rFonts w:ascii="Calibri" w:eastAsia="Calibri" w:hAnsi="Calibri" w:cs="Calibri"/>
                <w:b/>
                <w:bCs/>
              </w:rPr>
              <w:t>So tell me about yourself?</w:t>
            </w:r>
            <w:proofErr w:type="gramEnd"/>
          </w:p>
          <w:p>
            <w:pPr>
              <w:spacing w:line="257" w:lineRule="auto"/>
              <w:jc w:val="center"/>
              <w:rPr>
                <w:rFonts w:ascii="Calibri" w:eastAsia="Calibri" w:hAnsi="Calibri" w:cs="Calibri"/>
              </w:rPr>
            </w:pPr>
            <w:r>
              <w:rPr>
                <w:rFonts w:ascii="Calibri" w:eastAsia="Calibri" w:hAnsi="Calibri" w:cs="Calibri"/>
                <w:b/>
                <w:bCs/>
              </w:rPr>
              <w:t xml:space="preserve">Interview Preparation – </w:t>
            </w:r>
          </w:p>
          <w:p>
            <w:pPr>
              <w:spacing w:line="257" w:lineRule="auto"/>
              <w:jc w:val="center"/>
              <w:rPr>
                <w:rFonts w:ascii="Calibri" w:eastAsia="Calibri" w:hAnsi="Calibri" w:cs="Calibri"/>
              </w:rPr>
            </w:pPr>
            <w:r>
              <w:rPr>
                <w:rFonts w:ascii="Calibri" w:eastAsia="Calibri" w:hAnsi="Calibri" w:cs="Calibri"/>
              </w:rPr>
              <w:t xml:space="preserve">Practice Questions (write your answers but also practice saying them out aloud) - </w:t>
            </w:r>
          </w:p>
          <w:p>
            <w:pPr>
              <w:spacing w:line="257" w:lineRule="auto"/>
              <w:jc w:val="center"/>
              <w:rPr>
                <w:rFonts w:ascii="Calibri" w:eastAsia="Calibri" w:hAnsi="Calibri" w:cs="Calibri"/>
              </w:rPr>
            </w:pPr>
            <w:hyperlink r:id="rId37">
              <w:r>
                <w:rPr>
                  <w:rStyle w:val="Hyperlink"/>
                  <w:rFonts w:ascii="Calibri" w:eastAsia="Calibri" w:hAnsi="Calibri" w:cs="Calibri"/>
                  <w:color w:val="0563C1"/>
                </w:rPr>
                <w:t>http://www.1stjobseries.com/resources/1ST-JOB-SERIES-01-21.pdf</w:t>
              </w:r>
            </w:hyperlink>
          </w:p>
          <w:p>
            <w:pPr>
              <w:spacing w:line="257" w:lineRule="auto"/>
              <w:jc w:val="center"/>
              <w:rPr>
                <w:rFonts w:ascii="Calibri" w:eastAsia="Calibri" w:hAnsi="Calibri" w:cs="Calibri"/>
              </w:rPr>
            </w:pPr>
            <w:proofErr w:type="gramStart"/>
            <w:r>
              <w:rPr>
                <w:rFonts w:ascii="Calibri" w:eastAsia="Calibri" w:hAnsi="Calibri" w:cs="Calibri"/>
              </w:rPr>
              <w:t>Remember the question many struggled with - So tell me about yourself?</w:t>
            </w:r>
            <w:proofErr w:type="gramEnd"/>
            <w:r>
              <w:rPr>
                <w:rFonts w:ascii="Calibri" w:eastAsia="Calibri" w:hAnsi="Calibri" w:cs="Calibri"/>
              </w:rPr>
              <w:t xml:space="preserve"> - Use the Elevator Pitch to prepare - </w:t>
            </w:r>
            <w:hyperlink r:id="rId38">
              <w:r>
                <w:rPr>
                  <w:rStyle w:val="Hyperlink"/>
                  <w:rFonts w:ascii="Calibri" w:eastAsia="Calibri" w:hAnsi="Calibri" w:cs="Calibri"/>
                  <w:color w:val="0563C1"/>
                </w:rPr>
                <w:t>http://www.1stjobseries.com/resources/1ST-JOB-SERIES-01-13.pdf</w:t>
              </w:r>
            </w:hyperlink>
          </w:p>
          <w:p>
            <w:pPr>
              <w:spacing w:line="257" w:lineRule="auto"/>
              <w:jc w:val="center"/>
              <w:rPr>
                <w:rFonts w:ascii="Calibri" w:eastAsia="Calibri" w:hAnsi="Calibri" w:cs="Calibri"/>
              </w:rPr>
            </w:pPr>
          </w:p>
          <w:p>
            <w:pPr>
              <w:pStyle w:val="ListParagraph"/>
            </w:pPr>
          </w:p>
        </w:tc>
      </w:tr>
      <w:tr>
        <w:trPr>
          <w:trHeight w:val="1932"/>
        </w:trPr>
        <w:tc>
          <w:tcPr>
            <w:tcW w:w="1398" w:type="dxa"/>
          </w:tcPr>
          <w:p>
            <w:pPr>
              <w:jc w:val="center"/>
              <w:rPr>
                <w:b/>
                <w:bCs/>
              </w:rPr>
            </w:pPr>
            <w:r>
              <w:rPr>
                <w:b/>
                <w:bCs/>
              </w:rPr>
              <w:lastRenderedPageBreak/>
              <w:t xml:space="preserve">Money </w:t>
            </w:r>
          </w:p>
        </w:tc>
        <w:tc>
          <w:tcPr>
            <w:tcW w:w="20963" w:type="dxa"/>
            <w:gridSpan w:val="7"/>
            <w:shd w:val="clear" w:color="auto" w:fill="auto"/>
          </w:tcPr>
          <w:p>
            <w:pPr>
              <w:spacing w:line="257" w:lineRule="auto"/>
              <w:jc w:val="center"/>
              <w:rPr>
                <w:rFonts w:ascii="Calibri" w:eastAsia="Calibri" w:hAnsi="Calibri" w:cs="Calibri"/>
              </w:rPr>
            </w:pPr>
            <w:r>
              <w:rPr>
                <w:rFonts w:ascii="Calibri" w:eastAsia="Calibri" w:hAnsi="Calibri" w:cs="Calibri"/>
                <w:b/>
                <w:bCs/>
              </w:rPr>
              <w:t>Personal Finance</w:t>
            </w:r>
          </w:p>
          <w:p>
            <w:pPr>
              <w:spacing w:line="257" w:lineRule="auto"/>
              <w:jc w:val="center"/>
              <w:rPr>
                <w:rFonts w:ascii="Calibri" w:eastAsia="Calibri" w:hAnsi="Calibri" w:cs="Calibri"/>
              </w:rPr>
            </w:pPr>
            <w:hyperlink r:id="rId39">
              <w:r>
                <w:rPr>
                  <w:rStyle w:val="Hyperlink"/>
                  <w:rFonts w:ascii="Calibri" w:eastAsia="Calibri" w:hAnsi="Calibri" w:cs="Calibri"/>
                  <w:color w:val="0563C1"/>
                </w:rPr>
                <w:t>https://mypersonalfinanceskills.org/free-online-financial-education-sessions-2/</w:t>
              </w:r>
            </w:hyperlink>
          </w:p>
          <w:p>
            <w:pPr>
              <w:spacing w:line="257" w:lineRule="auto"/>
              <w:jc w:val="center"/>
              <w:rPr>
                <w:rFonts w:ascii="Calibri" w:eastAsia="Calibri" w:hAnsi="Calibri" w:cs="Calibri"/>
              </w:rPr>
            </w:pPr>
            <w:r>
              <w:rPr>
                <w:rFonts w:ascii="Calibri" w:eastAsia="Calibri" w:hAnsi="Calibri" w:cs="Calibri"/>
              </w:rPr>
              <w:t>Staying safe from financial scams</w:t>
            </w:r>
          </w:p>
          <w:p>
            <w:pPr>
              <w:spacing w:line="257" w:lineRule="auto"/>
              <w:jc w:val="center"/>
              <w:rPr>
                <w:rFonts w:ascii="Calibri" w:eastAsia="Calibri" w:hAnsi="Calibri" w:cs="Calibri"/>
              </w:rPr>
            </w:pPr>
            <w:r>
              <w:rPr>
                <w:rFonts w:ascii="Calibri" w:eastAsia="Calibri" w:hAnsi="Calibri" w:cs="Calibri"/>
              </w:rPr>
              <w:t xml:space="preserve">Moving on from school </w:t>
            </w:r>
          </w:p>
          <w:p>
            <w:pPr>
              <w:spacing w:line="257" w:lineRule="auto"/>
              <w:jc w:val="center"/>
              <w:rPr>
                <w:rFonts w:ascii="Calibri" w:eastAsia="Calibri" w:hAnsi="Calibri" w:cs="Calibri"/>
              </w:rPr>
            </w:pPr>
            <w:r>
              <w:rPr>
                <w:rFonts w:ascii="Calibri" w:eastAsia="Calibri" w:hAnsi="Calibri" w:cs="Calibri"/>
              </w:rPr>
              <w:t>My future finances</w:t>
            </w:r>
          </w:p>
          <w:p>
            <w:pPr>
              <w:spacing w:line="257" w:lineRule="auto"/>
              <w:jc w:val="center"/>
              <w:rPr>
                <w:rFonts w:ascii="Calibri" w:eastAsia="Calibri" w:hAnsi="Calibri" w:cs="Calibri"/>
              </w:rPr>
            </w:pPr>
            <w:r>
              <w:rPr>
                <w:rFonts w:ascii="Calibri" w:eastAsia="Calibri" w:hAnsi="Calibri" w:cs="Calibri"/>
              </w:rPr>
              <w:t>Making decisions and risk</w:t>
            </w:r>
          </w:p>
          <w:p>
            <w:pPr>
              <w:pStyle w:val="ListParagraph"/>
            </w:pPr>
          </w:p>
        </w:tc>
      </w:tr>
      <w:tr>
        <w:trPr>
          <w:trHeight w:val="1932"/>
        </w:trPr>
        <w:tc>
          <w:tcPr>
            <w:tcW w:w="1398" w:type="dxa"/>
          </w:tcPr>
          <w:p>
            <w:pPr>
              <w:jc w:val="center"/>
              <w:rPr>
                <w:b/>
                <w:bCs/>
              </w:rPr>
            </w:pPr>
            <w:r>
              <w:rPr>
                <w:b/>
                <w:bCs/>
              </w:rPr>
              <w:t xml:space="preserve">Apprenticeships </w:t>
            </w:r>
          </w:p>
        </w:tc>
        <w:tc>
          <w:tcPr>
            <w:tcW w:w="20963" w:type="dxa"/>
            <w:gridSpan w:val="7"/>
            <w:shd w:val="clear" w:color="auto" w:fill="auto"/>
          </w:tcPr>
          <w:p>
            <w:pPr>
              <w:pStyle w:val="ListParagraph"/>
            </w:pPr>
            <w:proofErr w:type="gramStart"/>
            <w:r>
              <w:t>Interested in an Apprenticeship?</w:t>
            </w:r>
            <w:proofErr w:type="gramEnd"/>
            <w:r>
              <w:t xml:space="preserve"> Search for live vacancies from all providers on here -  </w:t>
            </w:r>
            <w:hyperlink r:id="rId40">
              <w:r>
                <w:rPr>
                  <w:rStyle w:val="Hyperlink"/>
                </w:rPr>
                <w:t>https://www.gov.uk/apply-apprenticeship</w:t>
              </w:r>
            </w:hyperlink>
          </w:p>
        </w:tc>
      </w:tr>
    </w:tbl>
    <w:p>
      <w:bookmarkStart w:id="0" w:name="_GoBack"/>
      <w:bookmarkEnd w:id="0"/>
    </w:p>
    <w:sectPr>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F7718"/>
    <w:multiLevelType w:val="hybridMultilevel"/>
    <w:tmpl w:val="50124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F1700-88CB-44C0-91EA-32129EA6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97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tonledale.lancs.sch.uk/curriculum/what-are-students-learning-now/pshe" TargetMode="External"/><Relationship Id="rId13" Type="http://schemas.openxmlformats.org/officeDocument/2006/relationships/hyperlink" Target="https://corbettmaths.com/" TargetMode="External"/><Relationship Id="rId18" Type="http://schemas.openxmlformats.org/officeDocument/2006/relationships/hyperlink" Target="https://www.nsead.org/resources/life-after-lockdown/?fbclid=IwAR1pSsviWa03dJmWraMfVt7J2lFRPxoMh10IdPvlGMESUHe3CSA2ffhAC3A" TargetMode="External"/><Relationship Id="rId26" Type="http://schemas.openxmlformats.org/officeDocument/2006/relationships/hyperlink" Target="https://gbr01.safelinks.protection.outlook.com/?url=https%3A%2F%2Fwww.accross.ac.uk%2Fget-college-ready-law-justice-and-protective-services%2F&amp;data=02%7C01%7CMelanie.Wright%40NelsonGroup.ac.uk%7C119bf51fcb9f4938cf6908d7f59b3bb4%7Cec8185ce4f05448b828746c0185766e2%7C0%7C0%7C637247919376135960&amp;sdata=JnLLHEPZYaIfHyNJGSTB5ozL%2BFdRVrmKRlmPQvry0jA%3D&amp;reserved=0" TargetMode="External"/><Relationship Id="rId39" Type="http://schemas.openxmlformats.org/officeDocument/2006/relationships/hyperlink" Target="https://mypersonalfinanceskills.org/free-online-financial-education-sessions-2/" TargetMode="External"/><Relationship Id="rId3" Type="http://schemas.openxmlformats.org/officeDocument/2006/relationships/customXml" Target="../customXml/item3.xml"/><Relationship Id="rId21" Type="http://schemas.openxmlformats.org/officeDocument/2006/relationships/hyperlink" Target="https://gbr01.safelinks.protection.outlook.com/?url=https%3A%2F%2Fwww.accross.ac.uk%2Fget-college-ready-creative-arts-and-media%2F&amp;data=02%7C01%7CMelanie.Wright%40NelsonGroup.ac.uk%7C119bf51fcb9f4938cf6908d7f59b3bb4%7Cec8185ce4f05448b828746c0185766e2%7C0%7C0%7C637247919376106091&amp;sdata=929W8DF5qzxxqLvX21NfxDxkKCDtUAlzKeju2cCBdFM%3D&amp;reserved=0" TargetMode="External"/><Relationship Id="rId34" Type="http://schemas.openxmlformats.org/officeDocument/2006/relationships/hyperlink" Target="https://www.runshaw.ac.uk/study-at-runshaw/exciting-links-for-year-11-students/"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ei.org.uk/bridging_tests" TargetMode="External"/><Relationship Id="rId17" Type="http://schemas.openxmlformats.org/officeDocument/2006/relationships/hyperlink" Target="https://youtu.be/1FQOEQtWNZ8" TargetMode="External"/><Relationship Id="rId25" Type="http://schemas.openxmlformats.org/officeDocument/2006/relationships/hyperlink" Target="https://gbr01.safelinks.protection.outlook.com/?url=https%3A%2F%2Fwww.accross.ac.uk%2Fget-college-ready-health-and-social-work-professions%2F&amp;data=02%7C01%7CMelanie.Wright%40NelsonGroup.ac.uk%7C119bf51fcb9f4938cf6908d7f59b3bb4%7Cec8185ce4f05448b828746c0185766e2%7C0%7C0%7C637247919376126003&amp;sdata=Lg5Ixm%2BsKur3Wny7dmaoAoFiBEDlAC2tECNmCpBkGak%3D&amp;reserved=0" TargetMode="External"/><Relationship Id="rId33" Type="http://schemas.openxmlformats.org/officeDocument/2006/relationships/hyperlink" Target="https://www.cardinalnewman.ac.uk/school-leavers/newman-beginnings/" TargetMode="External"/><Relationship Id="rId38" Type="http://schemas.openxmlformats.org/officeDocument/2006/relationships/hyperlink" Target="http://www.1stjobseries.com/resources/1ST-JOB-SERIES-01-13.pdf" TargetMode="External"/><Relationship Id="rId2" Type="http://schemas.openxmlformats.org/officeDocument/2006/relationships/customXml" Target="../customXml/item2.xml"/><Relationship Id="rId16" Type="http://schemas.openxmlformats.org/officeDocument/2006/relationships/hyperlink" Target="https://www.teachitlanguages.co.uk/ks5-french-topics" TargetMode="External"/><Relationship Id="rId20" Type="http://schemas.openxmlformats.org/officeDocument/2006/relationships/hyperlink" Target="https://gbr01.safelinks.protection.outlook.com/?url=https%3A%2F%2Fwww.accross.ac.uk%2Fget-college-ready-construction%2F&amp;data=02%7C01%7CMelanie.Wright%40NelsonGroup.ac.uk%7C119bf51fcb9f4938cf6908d7f59b3bb4%7Cec8185ce4f05448b828746c0185766e2%7C0%7C0%7C637247919376106091&amp;sdata=YuKoiCQfA3NrAMbO50J1o%2F9sGKhH9sjnFRtXhVrDQWM%3D&amp;reserved=0" TargetMode="External"/><Relationship Id="rId29" Type="http://schemas.openxmlformats.org/officeDocument/2006/relationships/hyperlink" Target="https://gbr01.safelinks.protection.outlook.com/?url=https%3A%2F%2Fwww.accross.ac.uk%2Fget-college-ready-sport-and-sport-sciences%2F&amp;data=02%7C01%7CMelanie.Wright%40NelsonGroup.ac.uk%7C119bf51fcb9f4938cf6908d7f59b3bb4%7Cec8185ce4f05448b828746c0185766e2%7C0%7C0%7C637247919376145911&amp;sdata=juF3u3uwNz5Ez8hwjG21g80ba4PVGIbFpo%2FCHEtHnvU%3D&amp;reserved=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olit.io/courses/shakespeare-romeo-juliet" TargetMode="External"/><Relationship Id="rId24" Type="http://schemas.openxmlformats.org/officeDocument/2006/relationships/hyperlink" Target="https://gbr01.safelinks.protection.outlook.com/?url=https%3A%2F%2Fwww.accross.ac.uk%2Fget-college-ready-hair-and-beauty%2F&amp;data=02%7C01%7CMelanie.Wright%40NelsonGroup.ac.uk%7C119bf51fcb9f4938cf6908d7f59b3bb4%7Cec8185ce4f05448b828746c0185766e2%7C0%7C0%7C637247919376126003&amp;sdata=WAh9betlV1Hd08MTH5rAVNAyno3aGS78rR03aQuE%2Fdw%3D&amp;reserved=0" TargetMode="External"/><Relationship Id="rId32" Type="http://schemas.openxmlformats.org/officeDocument/2006/relationships/hyperlink" Target="https://gbr01.safelinks.protection.outlook.com/?url=https%3A%2F%2Fwww.nelson.ac.uk%2Fget-college-ready-science%2F&amp;data=02%7C01%7CMelanie.Wright%40NelsonGroup.ac.uk%7C119bf51fcb9f4938cf6908d7f59b3bb4%7Cec8185ce4f05448b828746c0185766e2%7C0%7C0%7C637247919376086180&amp;sdata=%2BATbSH1tWv5P0Z508dMW9xQA3OCZWAudXTGIjhn9rU0%3D&amp;reserved=0" TargetMode="External"/><Relationship Id="rId37" Type="http://schemas.openxmlformats.org/officeDocument/2006/relationships/hyperlink" Target="http://www.1stjobseries.com/resources/1ST-JOB-SERIES-01-21.pdf" TargetMode="External"/><Relationship Id="rId40" Type="http://schemas.openxmlformats.org/officeDocument/2006/relationships/hyperlink" Target="https://www.gov.uk/apply-apprenticeship" TargetMode="External"/><Relationship Id="rId5" Type="http://schemas.openxmlformats.org/officeDocument/2006/relationships/styles" Target="styles.xml"/><Relationship Id="rId15" Type="http://schemas.openxmlformats.org/officeDocument/2006/relationships/hyperlink" Target="mailto:j.moorcroft-jones@waltonledale.lancs.sch.uk" TargetMode="External"/><Relationship Id="rId23" Type="http://schemas.openxmlformats.org/officeDocument/2006/relationships/hyperlink" Target="https://gbr01.safelinks.protection.outlook.com/?url=https%3A%2F%2Fwww.accross.ac.uk%2Fget-college-ready-education-and-childcare%2F&amp;data=02%7C01%7CMelanie.Wright%40NelsonGroup.ac.uk%7C119bf51fcb9f4938cf6908d7f59b3bb4%7Cec8185ce4f05448b828746c0185766e2%7C0%7C0%7C637247919376116045&amp;sdata=pJEcqEEEh8BZr%2FVLGFI3uSF924cgA0YEhZwBlkvFyVg%3D&amp;reserved=0" TargetMode="External"/><Relationship Id="rId28" Type="http://schemas.openxmlformats.org/officeDocument/2006/relationships/hyperlink" Target="https://gbr01.safelinks.protection.outlook.com/?url=https%3A%2F%2Fwww.accross.ac.uk%2Fget-college-ready-pre-advanced%2F&amp;data=02%7C01%7CMelanie.Wright%40NelsonGroup.ac.uk%7C119bf51fcb9f4938cf6908d7f59b3bb4%7Cec8185ce4f05448b828746c0185766e2%7C0%7C0%7C637247919376145911&amp;sdata=UHTSnLsu9zRuhAiZCdV75dxQMggHSOKwuMUip%2BS7mkc%3D&amp;reserved=0" TargetMode="External"/><Relationship Id="rId36" Type="http://schemas.openxmlformats.org/officeDocument/2006/relationships/hyperlink" Target="mailto:k.royal@waltonledale.lancs.sch.uk" TargetMode="External"/><Relationship Id="rId10" Type="http://schemas.openxmlformats.org/officeDocument/2006/relationships/hyperlink" Target="https://www.waltonledale.lancs.sch.uk/curriculum/what-are-students-learning-now/other-curriculum-maps" TargetMode="External"/><Relationship Id="rId19" Type="http://schemas.openxmlformats.org/officeDocument/2006/relationships/hyperlink" Target="https://gbr01.safelinks.protection.outlook.com/?url=https%3A%2F%2Fwww.accross.ac.uk%2Fget-college-ready-business%2F&amp;data=02%7C01%7CMelanie.Wright%40NelsonGroup.ac.uk%7C119bf51fcb9f4938cf6908d7f59b3bb4%7Cec8185ce4f05448b828746c0185766e2%7C0%7C0%7C637247919376106091&amp;sdata=gmL0zTpiA0DYdKcrtBnN1z24z2%2FDAhSTSOV0jpAb%2B6I%3D&amp;reserved=0" TargetMode="External"/><Relationship Id="rId31" Type="http://schemas.openxmlformats.org/officeDocument/2006/relationships/hyperlink" Target="https://gbr01.safelinks.protection.outlook.com/?url=https%3A%2F%2Fwww.nelson.ac.uk%2Fget-college-ready-engineering%2F&amp;data=02%7C01%7CMelanie.Wright%40NelsonGroup.ac.uk%7C119bf51fcb9f4938cf6908d7f59b3bb4%7Cec8185ce4f05448b828746c0185766e2%7C0%7C0%7C637247919376066260&amp;sdata=5DVA85s4xtqHQ6vlkHkZTHQwVxrVbXqzPAb0glAG1%2FI%3D&amp;reserved=0" TargetMode="External"/><Relationship Id="rId4" Type="http://schemas.openxmlformats.org/officeDocument/2006/relationships/numbering" Target="numbering.xml"/><Relationship Id="rId9" Type="http://schemas.openxmlformats.org/officeDocument/2006/relationships/hyperlink" Target="https://www.waltonledale.lancs.sch.uk/curriculum/thought-for-the-week" TargetMode="External"/><Relationship Id="rId14" Type="http://schemas.openxmlformats.org/officeDocument/2006/relationships/hyperlink" Target="http://mr.moorcroft.online/y9/iDEA" TargetMode="External"/><Relationship Id="rId22" Type="http://schemas.openxmlformats.org/officeDocument/2006/relationships/hyperlink" Target="https://gbr01.safelinks.protection.outlook.com/?url=https%3A%2F%2Fwww.accross.ac.uk%2Fget-college-ready-digital%2F&amp;data=02%7C01%7CMelanie.Wright%40NelsonGroup.ac.uk%7C119bf51fcb9f4938cf6908d7f59b3bb4%7Cec8185ce4f05448b828746c0185766e2%7C0%7C0%7C637247919376116045&amp;sdata=VQMk%2BNHUM8kvtIqHGpe8HEQGyKC2fqJgc5EPcsaNtIE%3D&amp;reserved=0" TargetMode="External"/><Relationship Id="rId27" Type="http://schemas.openxmlformats.org/officeDocument/2006/relationships/hyperlink" Target="https://gbr01.safelinks.protection.outlook.com/?url=https%3A%2F%2Fwww.accross.ac.uk%2Fget-college-ready-motor-vehicle%2F&amp;data=02%7C01%7CMelanie.Wright%40NelsonGroup.ac.uk%7C119bf51fcb9f4938cf6908d7f59b3bb4%7Cec8185ce4f05448b828746c0185766e2%7C0%7C0%7C637247919376135960&amp;sdata=Q3AuLKBzdffD56C6HleRBvR6ZypHUyPR1CQTRwW9wjQ%3D&amp;reserved=0" TargetMode="External"/><Relationship Id="rId30" Type="http://schemas.openxmlformats.org/officeDocument/2006/relationships/hyperlink" Target="https://gbr01.safelinks.protection.outlook.com/?url=https%3A%2F%2Fwww.nelson.ac.uk%2Fget-college-ready-a-levels%2F&amp;data=02%7C01%7CMelanie.Wright%40NelsonGroup.ac.uk%7C119bf51fcb9f4938cf6908d7f59b3bb4%7Cec8185ce4f05448b828746c0185766e2%7C0%7C0%7C637247919376036396&amp;sdata=r37ZrJgUGx23%2B0fHlA%2BhoJvxMdIe%2BbX5IE76dNZnYTM%3D&amp;reserved=0" TargetMode="External"/><Relationship Id="rId35" Type="http://schemas.openxmlformats.org/officeDocument/2006/relationships/hyperlink" Target="https://www.startprofi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2" ma:contentTypeDescription="Create a new document." ma:contentTypeScope="" ma:versionID="7599e493d911fa15ae4d8331447b2f27">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ad09e815b9af82c7f41a17627641a174"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83C1D8-8FD1-4E9A-9D1E-CBFF4E658B89}">
  <ds:schemaRefs>
    <ds:schemaRef ds:uri="http://purl.org/dc/terms/"/>
    <ds:schemaRef ds:uri="http://schemas.openxmlformats.org/package/2006/metadata/core-properties"/>
    <ds:schemaRef ds:uri="fb2f7512-3b25-4eb2-a1b9-3f3b8093a243"/>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a1e64bd-9143-4ded-a195-378f6a14bc09"/>
    <ds:schemaRef ds:uri="http://www.w3.org/XML/1998/namespace"/>
  </ds:schemaRefs>
</ds:datastoreItem>
</file>

<file path=customXml/itemProps2.xml><?xml version="1.0" encoding="utf-8"?>
<ds:datastoreItem xmlns:ds="http://schemas.openxmlformats.org/officeDocument/2006/customXml" ds:itemID="{5DD36AE0-C2FC-452F-9748-CB0C71FB492F}">
  <ds:schemaRefs>
    <ds:schemaRef ds:uri="http://schemas.microsoft.com/sharepoint/v3/contenttype/forms"/>
  </ds:schemaRefs>
</ds:datastoreItem>
</file>

<file path=customXml/itemProps3.xml><?xml version="1.0" encoding="utf-8"?>
<ds:datastoreItem xmlns:ds="http://schemas.openxmlformats.org/officeDocument/2006/customXml" ds:itemID="{74F070D7-7B2B-4F7E-A72C-C4FF1EEEC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2636</Words>
  <Characters>15028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J Harris</cp:lastModifiedBy>
  <cp:revision>23</cp:revision>
  <dcterms:created xsi:type="dcterms:W3CDTF">2020-04-02T16:21:00Z</dcterms:created>
  <dcterms:modified xsi:type="dcterms:W3CDTF">2020-05-15T10:16:00Z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