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cstheme="minorHAnsi"/>
          <w:b/>
          <w:sz w:val="28"/>
          <w:szCs w:val="28"/>
        </w:rPr>
      </w:pPr>
      <w:r>
        <w:rPr>
          <w:rFonts w:cstheme="minorHAnsi"/>
          <w:b/>
          <w:sz w:val="28"/>
          <w:szCs w:val="28"/>
        </w:rPr>
        <w:t>Year 7 Catch up Funding 2018-19</w:t>
      </w:r>
      <w:bookmarkStart w:id="0" w:name="_GoBack"/>
      <w:bookmarkEnd w:id="0"/>
    </w:p>
    <w:p>
      <w:pPr>
        <w:rPr>
          <w:rFonts w:cstheme="minorHAnsi"/>
          <w:sz w:val="24"/>
          <w:szCs w:val="24"/>
        </w:rPr>
      </w:pPr>
      <w:r>
        <w:rPr>
          <w:rFonts w:cstheme="minorHAnsi"/>
          <w:sz w:val="24"/>
          <w:szCs w:val="24"/>
        </w:rPr>
        <w:t>The students who didn’t achieve the expected standard in either reading or maths at the end of key stage 2 have been identified by the AST data manager.</w:t>
      </w:r>
    </w:p>
    <w:p>
      <w:pPr>
        <w:rPr>
          <w:rFonts w:cstheme="minorHAnsi"/>
          <w:sz w:val="24"/>
          <w:szCs w:val="24"/>
        </w:rPr>
      </w:pPr>
      <w:r>
        <w:rPr>
          <w:rFonts w:cstheme="minorHAnsi"/>
          <w:sz w:val="24"/>
          <w:szCs w:val="24"/>
        </w:rPr>
        <w:t>These students have been discussed with HODs from English and Maths and the Learning Support department in September when KS2 data was available.</w:t>
      </w:r>
    </w:p>
    <w:p>
      <w:pPr>
        <w:rPr>
          <w:rFonts w:cstheme="minorHAnsi"/>
          <w:sz w:val="24"/>
          <w:szCs w:val="24"/>
        </w:rPr>
      </w:pPr>
      <w:r>
        <w:rPr>
          <w:rFonts w:cstheme="minorHAnsi"/>
          <w:sz w:val="24"/>
          <w:szCs w:val="24"/>
        </w:rPr>
        <w:t>The funding allocated for the financial year 2018/19 is £10,864 – the allocation is based on what was received for 2017/18 and adjusted to reflect the percentage change in the year 7 cohort.</w:t>
      </w:r>
    </w:p>
    <w:p>
      <w:pPr>
        <w:rPr>
          <w:rFonts w:cstheme="minorHAnsi"/>
          <w:sz w:val="24"/>
          <w:szCs w:val="24"/>
        </w:rPr>
      </w:pPr>
      <w:r>
        <w:rPr>
          <w:rFonts w:cstheme="minorHAnsi"/>
          <w:sz w:val="24"/>
          <w:szCs w:val="24"/>
        </w:rPr>
        <w:t>The funding has been spent on the following interventions:</w:t>
      </w:r>
    </w:p>
    <w:p>
      <w:pPr>
        <w:pStyle w:val="ListParagraph"/>
        <w:numPr>
          <w:ilvl w:val="0"/>
          <w:numId w:val="1"/>
        </w:numPr>
        <w:rPr>
          <w:rFonts w:cstheme="minorHAnsi"/>
          <w:sz w:val="24"/>
          <w:szCs w:val="24"/>
        </w:rPr>
      </w:pPr>
      <w:r>
        <w:rPr>
          <w:rFonts w:cstheme="minorHAnsi"/>
          <w:sz w:val="24"/>
          <w:szCs w:val="24"/>
        </w:rPr>
        <w:t>Individual tuition from specialist staff – English and Maths - weekly</w:t>
      </w:r>
    </w:p>
    <w:p>
      <w:pPr>
        <w:pStyle w:val="ListParagraph"/>
        <w:numPr>
          <w:ilvl w:val="0"/>
          <w:numId w:val="1"/>
        </w:numPr>
        <w:rPr>
          <w:rFonts w:cstheme="minorHAnsi"/>
          <w:sz w:val="24"/>
          <w:szCs w:val="24"/>
        </w:rPr>
      </w:pPr>
      <w:r>
        <w:rPr>
          <w:rFonts w:cstheme="minorHAnsi"/>
          <w:sz w:val="24"/>
          <w:szCs w:val="24"/>
        </w:rPr>
        <w:t>Intensive small group tuition – English and Maths - weekly</w:t>
      </w:r>
    </w:p>
    <w:p>
      <w:pPr>
        <w:pStyle w:val="ListParagraph"/>
        <w:numPr>
          <w:ilvl w:val="0"/>
          <w:numId w:val="1"/>
        </w:numPr>
        <w:rPr>
          <w:rFonts w:cstheme="minorHAnsi"/>
          <w:sz w:val="24"/>
          <w:szCs w:val="24"/>
        </w:rPr>
      </w:pPr>
      <w:r>
        <w:rPr>
          <w:rFonts w:cstheme="minorHAnsi"/>
          <w:sz w:val="24"/>
          <w:szCs w:val="24"/>
        </w:rPr>
        <w:t>IDL programme for literacy - weekly</w:t>
      </w:r>
    </w:p>
    <w:p>
      <w:pPr>
        <w:pStyle w:val="ListParagraph"/>
        <w:numPr>
          <w:ilvl w:val="0"/>
          <w:numId w:val="1"/>
        </w:numPr>
        <w:rPr>
          <w:rFonts w:cstheme="minorHAnsi"/>
          <w:sz w:val="24"/>
          <w:szCs w:val="24"/>
        </w:rPr>
      </w:pPr>
      <w:r>
        <w:rPr>
          <w:rFonts w:cstheme="minorHAnsi"/>
          <w:sz w:val="24"/>
          <w:szCs w:val="24"/>
        </w:rPr>
        <w:t>Literacy Acceleration programme – small group weekly</w:t>
      </w:r>
    </w:p>
    <w:p>
      <w:pPr>
        <w:pStyle w:val="ListParagraph"/>
        <w:numPr>
          <w:ilvl w:val="0"/>
          <w:numId w:val="1"/>
        </w:numPr>
        <w:rPr>
          <w:rFonts w:cstheme="minorHAnsi"/>
          <w:sz w:val="24"/>
          <w:szCs w:val="24"/>
        </w:rPr>
      </w:pPr>
      <w:r>
        <w:rPr>
          <w:rFonts w:cstheme="minorHAnsi"/>
          <w:sz w:val="24"/>
          <w:szCs w:val="24"/>
        </w:rPr>
        <w:t>Literacy + programme – small group - weekly</w:t>
      </w:r>
    </w:p>
    <w:p>
      <w:pPr>
        <w:pStyle w:val="ListParagraph"/>
        <w:numPr>
          <w:ilvl w:val="0"/>
          <w:numId w:val="1"/>
        </w:numPr>
        <w:rPr>
          <w:rFonts w:cstheme="minorHAnsi"/>
          <w:sz w:val="24"/>
          <w:szCs w:val="24"/>
        </w:rPr>
      </w:pPr>
      <w:r>
        <w:rPr>
          <w:rFonts w:cstheme="minorHAnsi"/>
          <w:sz w:val="24"/>
          <w:szCs w:val="24"/>
        </w:rPr>
        <w:t>Paired reading programme – daily 20 minutes</w:t>
      </w:r>
    </w:p>
    <w:p>
      <w:pPr>
        <w:pStyle w:val="ListParagraph"/>
        <w:numPr>
          <w:ilvl w:val="0"/>
          <w:numId w:val="1"/>
        </w:numPr>
        <w:rPr>
          <w:rFonts w:cstheme="minorHAnsi"/>
          <w:sz w:val="24"/>
          <w:szCs w:val="24"/>
        </w:rPr>
      </w:pPr>
      <w:r>
        <w:rPr>
          <w:rFonts w:cstheme="minorHAnsi"/>
          <w:sz w:val="24"/>
          <w:szCs w:val="24"/>
        </w:rPr>
        <w:t>Nurture group – 10 week programme – 5 hours each week</w:t>
      </w:r>
    </w:p>
    <w:p>
      <w:pPr>
        <w:rPr>
          <w:rFonts w:cstheme="minorHAnsi"/>
          <w:sz w:val="24"/>
          <w:szCs w:val="24"/>
        </w:rPr>
      </w:pPr>
      <w:r>
        <w:rPr>
          <w:rFonts w:cstheme="minorHAnsi"/>
          <w:sz w:val="24"/>
          <w:szCs w:val="24"/>
        </w:rPr>
        <w:t>Identified students can access the above interventions.</w:t>
      </w:r>
    </w:p>
    <w:p>
      <w:pPr>
        <w:rPr>
          <w:rFonts w:cstheme="minorHAnsi"/>
          <w:sz w:val="24"/>
          <w:szCs w:val="24"/>
        </w:rPr>
      </w:pPr>
      <w:r>
        <w:rPr>
          <w:rFonts w:cstheme="minorHAnsi"/>
          <w:sz w:val="24"/>
          <w:szCs w:val="24"/>
        </w:rPr>
        <w:t>We are continually looking at ways to engage and access effective interventions and strategies to raise attainment for this discrete group of students.</w:t>
      </w:r>
    </w:p>
    <w:p>
      <w:pPr>
        <w:rPr>
          <w:rFonts w:cstheme="minorHAnsi"/>
          <w:sz w:val="24"/>
          <w:szCs w:val="24"/>
        </w:rPr>
      </w:pPr>
      <w:r>
        <w:rPr>
          <w:rFonts w:cstheme="minorHAnsi"/>
          <w:sz w:val="24"/>
          <w:szCs w:val="24"/>
        </w:rPr>
        <w:t>(See proposals/Actions)</w:t>
      </w:r>
    </w:p>
    <w:p>
      <w:pPr>
        <w:rPr>
          <w:rFonts w:cstheme="minorHAnsi"/>
          <w:sz w:val="24"/>
          <w:szCs w:val="24"/>
        </w:rPr>
      </w:pPr>
      <w:r>
        <w:rPr>
          <w:rFonts w:cstheme="minorHAnsi"/>
          <w:sz w:val="24"/>
          <w:szCs w:val="24"/>
        </w:rPr>
        <w:t>Individual students have been identified to access some of the above interventions. Those which have proved effective, successful and beneficial to the students are ones which have been sustained and regular over a longer period of time.</w:t>
      </w:r>
    </w:p>
    <w:p>
      <w:pPr>
        <w:rPr>
          <w:rFonts w:cstheme="minorHAnsi"/>
          <w:b/>
          <w:sz w:val="24"/>
          <w:szCs w:val="24"/>
        </w:rPr>
      </w:pPr>
      <w:r>
        <w:rPr>
          <w:rFonts w:cstheme="minorHAnsi"/>
          <w:b/>
          <w:sz w:val="24"/>
          <w:szCs w:val="24"/>
        </w:rPr>
        <w:t>Proposals/Actions</w:t>
      </w:r>
    </w:p>
    <w:p>
      <w:pPr>
        <w:pStyle w:val="ListParagraph"/>
        <w:numPr>
          <w:ilvl w:val="0"/>
          <w:numId w:val="2"/>
        </w:numPr>
        <w:rPr>
          <w:rFonts w:cstheme="minorHAnsi"/>
          <w:sz w:val="24"/>
          <w:szCs w:val="24"/>
        </w:rPr>
      </w:pPr>
      <w:r>
        <w:rPr>
          <w:rFonts w:cstheme="minorHAnsi"/>
          <w:b/>
          <w:sz w:val="24"/>
          <w:szCs w:val="24"/>
        </w:rPr>
        <w:t>Accountability</w:t>
      </w:r>
      <w:r>
        <w:rPr>
          <w:rFonts w:cstheme="minorHAnsi"/>
          <w:sz w:val="24"/>
          <w:szCs w:val="24"/>
        </w:rPr>
        <w:t xml:space="preserve"> – Governors need to be informed of the above</w:t>
      </w:r>
    </w:p>
    <w:p>
      <w:pPr>
        <w:pStyle w:val="ListParagraph"/>
        <w:numPr>
          <w:ilvl w:val="0"/>
          <w:numId w:val="2"/>
        </w:numPr>
        <w:rPr>
          <w:rFonts w:cstheme="minorHAnsi"/>
          <w:sz w:val="24"/>
          <w:szCs w:val="24"/>
        </w:rPr>
      </w:pPr>
      <w:r>
        <w:rPr>
          <w:rFonts w:cstheme="minorHAnsi"/>
          <w:b/>
          <w:sz w:val="24"/>
          <w:szCs w:val="24"/>
        </w:rPr>
        <w:t>Research on strategies for raising attainment</w:t>
      </w:r>
      <w:r>
        <w:rPr>
          <w:rFonts w:cstheme="minorHAnsi"/>
          <w:sz w:val="24"/>
          <w:szCs w:val="24"/>
        </w:rPr>
        <w:t xml:space="preserve"> – school to look at The Education Endowment Foundation’s teaching and learning toolkit to compare different approaches to raising attainment and consider those relevant to catch up strategies.</w:t>
      </w:r>
    </w:p>
    <w:p>
      <w:pPr>
        <w:pStyle w:val="ListParagraph"/>
        <w:numPr>
          <w:ilvl w:val="0"/>
          <w:numId w:val="2"/>
        </w:numPr>
        <w:rPr>
          <w:rFonts w:cstheme="minorHAnsi"/>
          <w:sz w:val="24"/>
          <w:szCs w:val="24"/>
        </w:rPr>
      </w:pPr>
      <w:r>
        <w:rPr>
          <w:rFonts w:cstheme="minorHAnsi"/>
          <w:b/>
          <w:sz w:val="24"/>
          <w:szCs w:val="24"/>
        </w:rPr>
        <w:t>Reporting requirements</w:t>
      </w:r>
      <w:r>
        <w:rPr>
          <w:rFonts w:cstheme="minorHAnsi"/>
          <w:sz w:val="24"/>
          <w:szCs w:val="24"/>
        </w:rPr>
        <w:t xml:space="preserve"> – publish an a case study on the website along with data and information</w:t>
      </w:r>
    </w:p>
    <w:p>
      <w:pPr>
        <w:pStyle w:val="ListParagraph"/>
        <w:numPr>
          <w:ilvl w:val="0"/>
          <w:numId w:val="2"/>
        </w:numPr>
        <w:rPr>
          <w:rFonts w:cstheme="minorHAnsi"/>
          <w:sz w:val="24"/>
          <w:szCs w:val="24"/>
        </w:rPr>
      </w:pPr>
      <w:r>
        <w:rPr>
          <w:rFonts w:cstheme="minorHAnsi"/>
          <w:b/>
          <w:sz w:val="24"/>
          <w:szCs w:val="24"/>
        </w:rPr>
        <w:t xml:space="preserve">Improving practice </w:t>
      </w:r>
      <w:r>
        <w:rPr>
          <w:rFonts w:cstheme="minorHAnsi"/>
          <w:sz w:val="24"/>
          <w:szCs w:val="24"/>
        </w:rPr>
        <w:t>–</w:t>
      </w:r>
      <w:r>
        <w:rPr>
          <w:rFonts w:cstheme="minorHAnsi"/>
          <w:b/>
          <w:sz w:val="24"/>
          <w:szCs w:val="24"/>
        </w:rPr>
        <w:t xml:space="preserve"> </w:t>
      </w:r>
      <w:r>
        <w:rPr>
          <w:rFonts w:cstheme="minorHAnsi"/>
          <w:sz w:val="24"/>
          <w:szCs w:val="24"/>
        </w:rPr>
        <w:t>look at sustained and regular intervention in maths – intervention needs to reflect that delivered in English – ½ hour or 1 hour weekly planned intervention over longer periods of time</w:t>
      </w:r>
    </w:p>
    <w:p>
      <w:pPr>
        <w:pStyle w:val="ListParagraph"/>
        <w:rPr>
          <w:rFonts w:cstheme="minorHAnsi"/>
          <w:sz w:val="24"/>
          <w:szCs w:val="24"/>
        </w:rPr>
      </w:pPr>
      <w:r>
        <w:rPr>
          <w:rFonts w:cstheme="minorHAnsi"/>
          <w:sz w:val="24"/>
          <w:szCs w:val="24"/>
        </w:rPr>
        <w:t>Use […] during the summer term for identified students for small group intervention – weekly groups of 4/5 x 5 to ensure all catch up students are accessing regular intervention. Include in this CLA students who need weekly access as part of PEP plans.</w:t>
      </w:r>
    </w:p>
    <w:p>
      <w:pPr>
        <w:pStyle w:val="ListParagraph"/>
        <w:rPr>
          <w:rFonts w:cstheme="minorHAnsi"/>
          <w:sz w:val="24"/>
          <w:szCs w:val="24"/>
        </w:rPr>
      </w:pPr>
      <w:r>
        <w:rPr>
          <w:rFonts w:cstheme="minorHAnsi"/>
          <w:sz w:val="24"/>
          <w:szCs w:val="24"/>
        </w:rPr>
        <w:lastRenderedPageBreak/>
        <w:t>From September look at the possibility of […] being timetabled for intervention for lower school.</w:t>
      </w:r>
    </w:p>
    <w:p>
      <w:pPr>
        <w:rPr>
          <w:rFonts w:cstheme="minorHAnsi"/>
          <w:b/>
          <w:sz w:val="24"/>
          <w:szCs w:val="24"/>
        </w:rPr>
      </w:pPr>
      <w:r>
        <w:rPr>
          <w:rFonts w:cstheme="minorHAnsi"/>
          <w:b/>
          <w:sz w:val="24"/>
          <w:szCs w:val="24"/>
        </w:rPr>
        <w:t>Impact of 2018-19 funding allocation</w:t>
      </w:r>
    </w:p>
    <w:p>
      <w:pPr>
        <w:rPr>
          <w:rFonts w:cstheme="minorHAnsi"/>
          <w:sz w:val="24"/>
          <w:szCs w:val="24"/>
        </w:rPr>
      </w:pPr>
      <w:r>
        <w:rPr>
          <w:rFonts w:cstheme="minorHAnsi"/>
          <w:sz w:val="24"/>
          <w:szCs w:val="24"/>
        </w:rPr>
        <w:t xml:space="preserve">The impact of each intervention detailed above is being tracked through WRAT tests, performance in GL assessments and improved performance against expectations in English and Maths.  </w:t>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D36E43"/>
    <w:multiLevelType w:val="hybridMultilevel"/>
    <w:tmpl w:val="B6F6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DAE2770"/>
    <w:multiLevelType w:val="hybridMultilevel"/>
    <w:tmpl w:val="3CE0F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DB68B4-58C3-463F-B28E-9CA5352C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388</Words>
  <Characters>2214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Snape</dc:creator>
  <cp:keywords/>
  <dc:description/>
  <cp:lastModifiedBy>J Harris</cp:lastModifiedBy>
  <cp:revision>6</cp:revision>
  <dcterms:created xsi:type="dcterms:W3CDTF">2019-03-29T07:30:00Z</dcterms:created>
  <dcterms:modified xsi:type="dcterms:W3CDTF">2020-05-07T12:00:00Z</dcterms:modified>
</cp:coreProperties>
</file>