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5B9" w:rsidRDefault="003D039D">
      <w:pPr>
        <w:pStyle w:val="Default"/>
        <w:rPr>
          <w:b/>
          <w:bCs/>
          <w:iCs/>
          <w:sz w:val="28"/>
          <w:szCs w:val="28"/>
        </w:rPr>
      </w:pPr>
      <w:r>
        <w:rPr>
          <w:b/>
          <w:bCs/>
          <w:iCs/>
          <w:sz w:val="28"/>
          <w:szCs w:val="28"/>
        </w:rPr>
        <w:t xml:space="preserve">WALTON-LE-DALE HIGH SCHOOL </w:t>
      </w:r>
    </w:p>
    <w:p w:rsidR="00D835B9" w:rsidRDefault="00D835B9">
      <w:pPr>
        <w:pStyle w:val="Default"/>
        <w:rPr>
          <w:b/>
          <w:bCs/>
          <w:iCs/>
          <w:sz w:val="23"/>
          <w:szCs w:val="23"/>
        </w:rPr>
      </w:pPr>
    </w:p>
    <w:p w:rsidR="00D835B9" w:rsidRDefault="0031622B">
      <w:pPr>
        <w:pStyle w:val="Default"/>
        <w:rPr>
          <w:sz w:val="23"/>
          <w:szCs w:val="23"/>
        </w:rPr>
      </w:pPr>
      <w:r>
        <w:rPr>
          <w:b/>
          <w:bCs/>
          <w:sz w:val="23"/>
          <w:szCs w:val="23"/>
        </w:rPr>
        <w:t>Provider Access Policy</w:t>
      </w:r>
    </w:p>
    <w:p w:rsidR="00D835B9" w:rsidRDefault="00D835B9">
      <w:pPr>
        <w:pStyle w:val="Default"/>
        <w:rPr>
          <w:b/>
          <w:bCs/>
          <w:sz w:val="23"/>
          <w:szCs w:val="23"/>
        </w:rPr>
      </w:pPr>
    </w:p>
    <w:p w:rsidR="00D835B9" w:rsidRDefault="003D039D">
      <w:pPr>
        <w:pStyle w:val="Default"/>
        <w:rPr>
          <w:b/>
          <w:bCs/>
          <w:sz w:val="23"/>
          <w:szCs w:val="23"/>
        </w:rPr>
      </w:pPr>
      <w:r>
        <w:rPr>
          <w:b/>
          <w:bCs/>
          <w:sz w:val="23"/>
          <w:szCs w:val="23"/>
        </w:rPr>
        <w:t xml:space="preserve">Introduction </w:t>
      </w:r>
    </w:p>
    <w:p w:rsidR="00D835B9" w:rsidRDefault="003D039D">
      <w:pPr>
        <w:pStyle w:val="Default"/>
        <w:rPr>
          <w:sz w:val="23"/>
          <w:szCs w:val="23"/>
        </w:rPr>
      </w:pPr>
      <w:r>
        <w:rPr>
          <w:sz w:val="23"/>
          <w:szCs w:val="23"/>
        </w:rPr>
        <w:t>This policy statement sets out the school’s arrangements for managing the access of providers to pupils at the school for the purpose of giving them information about the provider’s education or training offer. This complies with the school’s legal obligat</w:t>
      </w:r>
      <w:r>
        <w:rPr>
          <w:sz w:val="23"/>
          <w:szCs w:val="23"/>
        </w:rPr>
        <w:t xml:space="preserve">ions under Section 42B of the Education Act 1997. </w:t>
      </w:r>
    </w:p>
    <w:p w:rsidR="00D835B9" w:rsidRDefault="00D835B9">
      <w:pPr>
        <w:pStyle w:val="Default"/>
        <w:rPr>
          <w:b/>
          <w:bCs/>
          <w:sz w:val="23"/>
          <w:szCs w:val="23"/>
        </w:rPr>
      </w:pPr>
    </w:p>
    <w:p w:rsidR="00D835B9" w:rsidRDefault="003D039D">
      <w:pPr>
        <w:pStyle w:val="Default"/>
        <w:rPr>
          <w:b/>
          <w:bCs/>
          <w:sz w:val="23"/>
          <w:szCs w:val="23"/>
        </w:rPr>
      </w:pPr>
      <w:r>
        <w:rPr>
          <w:b/>
          <w:bCs/>
          <w:sz w:val="23"/>
          <w:szCs w:val="23"/>
        </w:rPr>
        <w:t xml:space="preserve">Pupil entitlement </w:t>
      </w:r>
    </w:p>
    <w:p w:rsidR="00D835B9" w:rsidRDefault="00D835B9">
      <w:pPr>
        <w:pStyle w:val="Default"/>
        <w:rPr>
          <w:sz w:val="23"/>
          <w:szCs w:val="23"/>
        </w:rPr>
      </w:pPr>
    </w:p>
    <w:p w:rsidR="00D835B9" w:rsidRDefault="003D039D">
      <w:pPr>
        <w:pStyle w:val="Default"/>
        <w:rPr>
          <w:sz w:val="23"/>
          <w:szCs w:val="23"/>
        </w:rPr>
      </w:pPr>
      <w:r>
        <w:rPr>
          <w:sz w:val="23"/>
          <w:szCs w:val="23"/>
        </w:rPr>
        <w:t xml:space="preserve">All pupils in years 8-11 are entitled: </w:t>
      </w:r>
    </w:p>
    <w:p w:rsidR="00D835B9" w:rsidRDefault="003D039D">
      <w:pPr>
        <w:pStyle w:val="Default"/>
        <w:numPr>
          <w:ilvl w:val="0"/>
          <w:numId w:val="1"/>
        </w:numPr>
        <w:spacing w:after="78"/>
        <w:rPr>
          <w:sz w:val="23"/>
          <w:szCs w:val="23"/>
        </w:rPr>
      </w:pPr>
      <w:r>
        <w:rPr>
          <w:sz w:val="23"/>
          <w:szCs w:val="23"/>
        </w:rPr>
        <w:t>to find out about technical education qualifications and apprenticeships opportunities, as part of a careers programme which provides informatio</w:t>
      </w:r>
      <w:r>
        <w:rPr>
          <w:sz w:val="23"/>
          <w:szCs w:val="23"/>
        </w:rPr>
        <w:t xml:space="preserve">n on the full range of education and training options available at each transition point;  </w:t>
      </w:r>
    </w:p>
    <w:p w:rsidR="00D835B9" w:rsidRDefault="003D039D">
      <w:pPr>
        <w:pStyle w:val="Default"/>
        <w:numPr>
          <w:ilvl w:val="0"/>
          <w:numId w:val="1"/>
        </w:numPr>
        <w:spacing w:after="78"/>
        <w:rPr>
          <w:sz w:val="23"/>
          <w:szCs w:val="23"/>
        </w:rPr>
      </w:pPr>
      <w:r>
        <w:rPr>
          <w:sz w:val="23"/>
          <w:szCs w:val="23"/>
        </w:rPr>
        <w:t>to hear from a range of local providers about the opportunities they offer, including technical education and apprenticeships – through options events, assemblies a</w:t>
      </w:r>
      <w:r>
        <w:rPr>
          <w:sz w:val="23"/>
          <w:szCs w:val="23"/>
        </w:rPr>
        <w:t xml:space="preserve">nd group discussions and taster events; </w:t>
      </w:r>
    </w:p>
    <w:p w:rsidR="00D835B9" w:rsidRDefault="003D039D">
      <w:pPr>
        <w:pStyle w:val="Default"/>
        <w:numPr>
          <w:ilvl w:val="0"/>
          <w:numId w:val="1"/>
        </w:numPr>
        <w:rPr>
          <w:sz w:val="23"/>
          <w:szCs w:val="23"/>
        </w:rPr>
      </w:pPr>
      <w:proofErr w:type="gramStart"/>
      <w:r>
        <w:rPr>
          <w:sz w:val="23"/>
          <w:szCs w:val="23"/>
        </w:rPr>
        <w:t>to</w:t>
      </w:r>
      <w:proofErr w:type="gramEnd"/>
      <w:r>
        <w:rPr>
          <w:sz w:val="23"/>
          <w:szCs w:val="23"/>
        </w:rPr>
        <w:t xml:space="preserve"> understand how to make applications for the full range of academic and technical courses. </w:t>
      </w:r>
    </w:p>
    <w:p w:rsidR="00D835B9" w:rsidRDefault="00D835B9">
      <w:pPr>
        <w:pStyle w:val="Default"/>
        <w:rPr>
          <w:sz w:val="23"/>
          <w:szCs w:val="23"/>
        </w:rPr>
      </w:pPr>
    </w:p>
    <w:p w:rsidR="00D835B9" w:rsidRDefault="003D039D">
      <w:pPr>
        <w:pStyle w:val="Default"/>
        <w:rPr>
          <w:sz w:val="23"/>
          <w:szCs w:val="23"/>
        </w:rPr>
      </w:pPr>
      <w:r>
        <w:rPr>
          <w:b/>
          <w:bCs/>
          <w:sz w:val="23"/>
          <w:szCs w:val="23"/>
        </w:rPr>
        <w:t xml:space="preserve">Management of provider access requests </w:t>
      </w:r>
    </w:p>
    <w:p w:rsidR="00D835B9" w:rsidRDefault="003D039D">
      <w:pPr>
        <w:pStyle w:val="Default"/>
        <w:rPr>
          <w:sz w:val="23"/>
          <w:szCs w:val="23"/>
        </w:rPr>
      </w:pPr>
      <w:r>
        <w:rPr>
          <w:b/>
          <w:bCs/>
          <w:sz w:val="23"/>
          <w:szCs w:val="23"/>
        </w:rPr>
        <w:t xml:space="preserve">Procedure </w:t>
      </w:r>
    </w:p>
    <w:p w:rsidR="00D835B9" w:rsidRDefault="003D039D">
      <w:pPr>
        <w:pStyle w:val="Default"/>
        <w:rPr>
          <w:sz w:val="23"/>
          <w:szCs w:val="23"/>
        </w:rPr>
      </w:pPr>
      <w:r>
        <w:rPr>
          <w:sz w:val="23"/>
          <w:szCs w:val="23"/>
        </w:rPr>
        <w:t xml:space="preserve">A provider wishing to request access should contact </w:t>
      </w:r>
      <w:r w:rsidRPr="0031622B">
        <w:rPr>
          <w:iCs/>
          <w:sz w:val="23"/>
          <w:szCs w:val="23"/>
        </w:rPr>
        <w:t xml:space="preserve">Mrs </w:t>
      </w:r>
      <w:proofErr w:type="spellStart"/>
      <w:r w:rsidRPr="0031622B">
        <w:rPr>
          <w:iCs/>
          <w:sz w:val="23"/>
          <w:szCs w:val="23"/>
        </w:rPr>
        <w:t>Mathers</w:t>
      </w:r>
      <w:proofErr w:type="spellEnd"/>
      <w:r>
        <w:rPr>
          <w:sz w:val="23"/>
          <w:szCs w:val="23"/>
        </w:rPr>
        <w:t>, Care</w:t>
      </w:r>
      <w:r w:rsidR="0031622B">
        <w:rPr>
          <w:sz w:val="23"/>
          <w:szCs w:val="23"/>
        </w:rPr>
        <w:t>ers Advise</w:t>
      </w:r>
      <w:r>
        <w:rPr>
          <w:sz w:val="23"/>
          <w:szCs w:val="23"/>
        </w:rPr>
        <w:t xml:space="preserve">r, </w:t>
      </w:r>
    </w:p>
    <w:p w:rsidR="00D835B9" w:rsidRDefault="003D039D">
      <w:pPr>
        <w:pStyle w:val="Default"/>
        <w:rPr>
          <w:sz w:val="23"/>
          <w:szCs w:val="23"/>
        </w:rPr>
      </w:pPr>
      <w:r>
        <w:rPr>
          <w:sz w:val="23"/>
          <w:szCs w:val="23"/>
        </w:rPr>
        <w:t xml:space="preserve">Telephone: 01772 335726; Email: </w:t>
      </w:r>
      <w:hyperlink r:id="rId5" w:history="1">
        <w:r w:rsidR="0031622B" w:rsidRPr="009E75BA">
          <w:rPr>
            <w:rStyle w:val="Hyperlink"/>
            <w:iCs/>
            <w:sz w:val="23"/>
            <w:szCs w:val="23"/>
          </w:rPr>
          <w:t>s.mathers@waltonledale.lancs.sch.uk</w:t>
        </w:r>
      </w:hyperlink>
      <w:r w:rsidR="0031622B">
        <w:rPr>
          <w:iCs/>
          <w:sz w:val="23"/>
          <w:szCs w:val="23"/>
        </w:rPr>
        <w:t xml:space="preserve"> or Mrs Scargill, Assistant Careers Adviser; Email: </w:t>
      </w:r>
      <w:hyperlink r:id="rId6" w:history="1">
        <w:r w:rsidR="0031622B" w:rsidRPr="009E75BA">
          <w:rPr>
            <w:rStyle w:val="Hyperlink"/>
            <w:iCs/>
            <w:sz w:val="23"/>
            <w:szCs w:val="23"/>
          </w:rPr>
          <w:t>l.scargill@waltonledale.lancs.sch.uk</w:t>
        </w:r>
      </w:hyperlink>
      <w:r w:rsidR="0031622B">
        <w:rPr>
          <w:iCs/>
          <w:sz w:val="23"/>
          <w:szCs w:val="23"/>
        </w:rPr>
        <w:t xml:space="preserve"> </w:t>
      </w:r>
    </w:p>
    <w:p w:rsidR="00D835B9" w:rsidRDefault="00D835B9">
      <w:pPr>
        <w:pStyle w:val="Default"/>
        <w:rPr>
          <w:b/>
          <w:bCs/>
          <w:sz w:val="23"/>
          <w:szCs w:val="23"/>
        </w:rPr>
      </w:pPr>
    </w:p>
    <w:p w:rsidR="00D835B9" w:rsidRDefault="003D039D">
      <w:pPr>
        <w:pStyle w:val="Default"/>
        <w:rPr>
          <w:sz w:val="23"/>
          <w:szCs w:val="23"/>
        </w:rPr>
      </w:pPr>
      <w:r>
        <w:rPr>
          <w:b/>
          <w:bCs/>
          <w:sz w:val="23"/>
          <w:szCs w:val="23"/>
        </w:rPr>
        <w:t xml:space="preserve">Opportunities for access </w:t>
      </w:r>
    </w:p>
    <w:p w:rsidR="00D835B9" w:rsidRDefault="003D039D" w:rsidP="00DC0375">
      <w:pPr>
        <w:pStyle w:val="Default"/>
        <w:rPr>
          <w:sz w:val="23"/>
          <w:szCs w:val="23"/>
        </w:rPr>
      </w:pPr>
      <w:r>
        <w:rPr>
          <w:sz w:val="23"/>
          <w:szCs w:val="23"/>
        </w:rPr>
        <w:t>A number of events, integrated into the school careers programme, will offer providers an opportunity to come into school to speak to pupils and/or</w:t>
      </w:r>
      <w:r w:rsidR="00DC0375">
        <w:rPr>
          <w:sz w:val="23"/>
          <w:szCs w:val="23"/>
        </w:rPr>
        <w:t xml:space="preserve"> their parents/carers. </w:t>
      </w:r>
      <w:r w:rsidR="00DC0375" w:rsidRPr="00DC0375">
        <w:rPr>
          <w:sz w:val="23"/>
          <w:szCs w:val="23"/>
        </w:rPr>
        <w:t>The school policy on safeguarding sets out the school’s approach to allowing providers into school as visitors to talk to our students</w:t>
      </w:r>
      <w:bookmarkStart w:id="0" w:name="_GoBack"/>
      <w:bookmarkEnd w:id="0"/>
    </w:p>
    <w:p w:rsidR="00D835B9" w:rsidRDefault="00D835B9">
      <w:pPr>
        <w:rPr>
          <w:sz w:val="23"/>
          <w:szCs w:val="23"/>
        </w:rPr>
      </w:pPr>
    </w:p>
    <w:tbl>
      <w:tblPr>
        <w:tblStyle w:val="TableGrid"/>
        <w:tblW w:w="9209" w:type="dxa"/>
        <w:tblLayout w:type="fixed"/>
        <w:tblLook w:val="04A0" w:firstRow="1" w:lastRow="0" w:firstColumn="1" w:lastColumn="0" w:noHBand="0" w:noVBand="1"/>
      </w:tblPr>
      <w:tblGrid>
        <w:gridCol w:w="846"/>
        <w:gridCol w:w="2977"/>
        <w:gridCol w:w="2835"/>
        <w:gridCol w:w="2551"/>
      </w:tblGrid>
      <w:tr w:rsidR="00D835B9">
        <w:tc>
          <w:tcPr>
            <w:tcW w:w="846" w:type="dxa"/>
          </w:tcPr>
          <w:p w:rsidR="00D835B9" w:rsidRDefault="00D835B9">
            <w:pPr>
              <w:rPr>
                <w:rFonts w:asciiTheme="majorHAnsi" w:hAnsiTheme="majorHAnsi" w:cstheme="majorHAnsi"/>
                <w:sz w:val="23"/>
                <w:szCs w:val="23"/>
              </w:rPr>
            </w:pPr>
          </w:p>
          <w:p w:rsidR="00D835B9" w:rsidRDefault="00D835B9">
            <w:pPr>
              <w:rPr>
                <w:rFonts w:asciiTheme="majorHAnsi" w:hAnsiTheme="majorHAnsi" w:cstheme="majorHAnsi"/>
                <w:sz w:val="23"/>
                <w:szCs w:val="23"/>
              </w:rPr>
            </w:pPr>
          </w:p>
        </w:tc>
        <w:tc>
          <w:tcPr>
            <w:tcW w:w="2977" w:type="dxa"/>
          </w:tcPr>
          <w:p w:rsidR="00D835B9" w:rsidRDefault="003D039D">
            <w:pPr>
              <w:jc w:val="center"/>
              <w:rPr>
                <w:rFonts w:asciiTheme="majorHAnsi" w:hAnsiTheme="majorHAnsi" w:cstheme="majorHAnsi"/>
                <w:sz w:val="23"/>
                <w:szCs w:val="23"/>
              </w:rPr>
            </w:pPr>
            <w:r>
              <w:rPr>
                <w:rFonts w:asciiTheme="majorHAnsi" w:hAnsiTheme="majorHAnsi" w:cstheme="majorHAnsi"/>
                <w:sz w:val="23"/>
                <w:szCs w:val="23"/>
              </w:rPr>
              <w:t>Autumn Term</w:t>
            </w:r>
          </w:p>
        </w:tc>
        <w:tc>
          <w:tcPr>
            <w:tcW w:w="2835" w:type="dxa"/>
          </w:tcPr>
          <w:p w:rsidR="00D835B9" w:rsidRDefault="003D039D">
            <w:pPr>
              <w:jc w:val="center"/>
              <w:rPr>
                <w:rFonts w:asciiTheme="majorHAnsi" w:hAnsiTheme="majorHAnsi" w:cstheme="majorHAnsi"/>
                <w:sz w:val="23"/>
                <w:szCs w:val="23"/>
              </w:rPr>
            </w:pPr>
            <w:r>
              <w:rPr>
                <w:rFonts w:asciiTheme="majorHAnsi" w:hAnsiTheme="majorHAnsi" w:cstheme="majorHAnsi"/>
                <w:sz w:val="23"/>
                <w:szCs w:val="23"/>
              </w:rPr>
              <w:t>Spring Term</w:t>
            </w:r>
          </w:p>
        </w:tc>
        <w:tc>
          <w:tcPr>
            <w:tcW w:w="2551" w:type="dxa"/>
          </w:tcPr>
          <w:p w:rsidR="00D835B9" w:rsidRDefault="003D039D">
            <w:pPr>
              <w:jc w:val="center"/>
              <w:rPr>
                <w:rFonts w:asciiTheme="majorHAnsi" w:hAnsiTheme="majorHAnsi" w:cstheme="majorHAnsi"/>
                <w:sz w:val="23"/>
                <w:szCs w:val="23"/>
              </w:rPr>
            </w:pPr>
            <w:r>
              <w:rPr>
                <w:rFonts w:asciiTheme="majorHAnsi" w:hAnsiTheme="majorHAnsi" w:cstheme="majorHAnsi"/>
                <w:sz w:val="23"/>
                <w:szCs w:val="23"/>
              </w:rPr>
              <w:t>Summer Term</w:t>
            </w:r>
          </w:p>
        </w:tc>
      </w:tr>
      <w:tr w:rsidR="00D835B9">
        <w:tc>
          <w:tcPr>
            <w:tcW w:w="846" w:type="dxa"/>
          </w:tcPr>
          <w:p w:rsidR="00D835B9" w:rsidRDefault="00D835B9">
            <w:pPr>
              <w:rPr>
                <w:rFonts w:asciiTheme="majorHAnsi" w:hAnsiTheme="majorHAnsi" w:cstheme="majorHAnsi"/>
                <w:sz w:val="23"/>
                <w:szCs w:val="23"/>
              </w:rPr>
            </w:pPr>
          </w:p>
          <w:p w:rsidR="00D835B9" w:rsidRDefault="003D039D">
            <w:pPr>
              <w:rPr>
                <w:rFonts w:asciiTheme="majorHAnsi" w:hAnsiTheme="majorHAnsi" w:cstheme="majorHAnsi"/>
                <w:sz w:val="23"/>
                <w:szCs w:val="23"/>
              </w:rPr>
            </w:pPr>
            <w:r>
              <w:rPr>
                <w:rFonts w:asciiTheme="majorHAnsi" w:hAnsiTheme="majorHAnsi" w:cstheme="majorHAnsi"/>
                <w:sz w:val="23"/>
                <w:szCs w:val="23"/>
              </w:rPr>
              <w:t>YEAR 8</w:t>
            </w:r>
          </w:p>
          <w:p w:rsidR="00D835B9" w:rsidRDefault="00D835B9">
            <w:pPr>
              <w:rPr>
                <w:rFonts w:asciiTheme="majorHAnsi" w:hAnsiTheme="majorHAnsi" w:cstheme="majorHAnsi"/>
                <w:sz w:val="23"/>
                <w:szCs w:val="23"/>
              </w:rPr>
            </w:pPr>
          </w:p>
        </w:tc>
        <w:tc>
          <w:tcPr>
            <w:tcW w:w="2977" w:type="dxa"/>
          </w:tcPr>
          <w:p w:rsidR="00D835B9" w:rsidRDefault="00D835B9">
            <w:pPr>
              <w:rPr>
                <w:rFonts w:asciiTheme="majorHAnsi" w:hAnsiTheme="majorHAnsi" w:cstheme="majorHAnsi"/>
                <w:sz w:val="23"/>
                <w:szCs w:val="23"/>
              </w:rPr>
            </w:pPr>
          </w:p>
        </w:tc>
        <w:tc>
          <w:tcPr>
            <w:tcW w:w="2835" w:type="dxa"/>
          </w:tcPr>
          <w:p w:rsidR="00D835B9" w:rsidRDefault="003D039D">
            <w:pPr>
              <w:rPr>
                <w:rFonts w:asciiTheme="majorHAnsi" w:hAnsiTheme="majorHAnsi" w:cstheme="majorHAnsi"/>
                <w:sz w:val="23"/>
                <w:szCs w:val="23"/>
              </w:rPr>
            </w:pPr>
            <w:r>
              <w:rPr>
                <w:rFonts w:asciiTheme="majorHAnsi" w:hAnsiTheme="majorHAnsi" w:cstheme="majorHAnsi"/>
                <w:sz w:val="23"/>
                <w:szCs w:val="23"/>
              </w:rPr>
              <w:t>Real game</w:t>
            </w:r>
          </w:p>
          <w:p w:rsidR="00D835B9" w:rsidRDefault="003D039D">
            <w:pPr>
              <w:rPr>
                <w:rFonts w:asciiTheme="majorHAnsi" w:hAnsiTheme="majorHAnsi" w:cstheme="majorHAnsi"/>
                <w:sz w:val="23"/>
                <w:szCs w:val="23"/>
              </w:rPr>
            </w:pPr>
            <w:r>
              <w:rPr>
                <w:rFonts w:asciiTheme="majorHAnsi" w:hAnsiTheme="majorHAnsi" w:cstheme="majorHAnsi"/>
                <w:sz w:val="23"/>
                <w:szCs w:val="23"/>
              </w:rPr>
              <w:t>Presentations from employers</w:t>
            </w:r>
          </w:p>
          <w:p w:rsidR="00D835B9" w:rsidRDefault="003D039D">
            <w:pPr>
              <w:rPr>
                <w:rFonts w:asciiTheme="majorHAnsi" w:hAnsiTheme="majorHAnsi" w:cstheme="majorHAnsi"/>
                <w:sz w:val="23"/>
                <w:szCs w:val="23"/>
              </w:rPr>
            </w:pPr>
            <w:r>
              <w:rPr>
                <w:rFonts w:asciiTheme="majorHAnsi" w:hAnsiTheme="majorHAnsi" w:cstheme="majorHAnsi"/>
                <w:sz w:val="23"/>
                <w:szCs w:val="23"/>
              </w:rPr>
              <w:t>Tomorrows  Engineers workshops</w:t>
            </w:r>
          </w:p>
        </w:tc>
        <w:tc>
          <w:tcPr>
            <w:tcW w:w="2551" w:type="dxa"/>
          </w:tcPr>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Aim Higher University visits</w:t>
            </w:r>
          </w:p>
          <w:p w:rsidR="00D835B9" w:rsidRDefault="00D835B9">
            <w:pPr>
              <w:rPr>
                <w:rFonts w:asciiTheme="majorHAnsi" w:hAnsiTheme="majorHAnsi" w:cstheme="majorHAnsi"/>
                <w:sz w:val="23"/>
                <w:szCs w:val="23"/>
              </w:rPr>
            </w:pPr>
          </w:p>
        </w:tc>
      </w:tr>
      <w:tr w:rsidR="00D835B9">
        <w:tc>
          <w:tcPr>
            <w:tcW w:w="846" w:type="dxa"/>
          </w:tcPr>
          <w:p w:rsidR="00D835B9" w:rsidRDefault="00D835B9">
            <w:pPr>
              <w:rPr>
                <w:rFonts w:asciiTheme="majorHAnsi" w:hAnsiTheme="majorHAnsi" w:cstheme="majorHAnsi"/>
                <w:sz w:val="23"/>
                <w:szCs w:val="23"/>
              </w:rPr>
            </w:pPr>
          </w:p>
          <w:p w:rsidR="00D835B9" w:rsidRDefault="003D039D">
            <w:pPr>
              <w:rPr>
                <w:rFonts w:asciiTheme="majorHAnsi" w:hAnsiTheme="majorHAnsi" w:cstheme="majorHAnsi"/>
                <w:sz w:val="23"/>
                <w:szCs w:val="23"/>
              </w:rPr>
            </w:pPr>
            <w:r>
              <w:rPr>
                <w:rFonts w:asciiTheme="majorHAnsi" w:hAnsiTheme="majorHAnsi" w:cstheme="majorHAnsi"/>
                <w:sz w:val="23"/>
                <w:szCs w:val="23"/>
              </w:rPr>
              <w:t>YEAR 9</w:t>
            </w:r>
          </w:p>
          <w:p w:rsidR="00D835B9" w:rsidRDefault="00D835B9">
            <w:pPr>
              <w:rPr>
                <w:rFonts w:asciiTheme="majorHAnsi" w:hAnsiTheme="majorHAnsi" w:cstheme="majorHAnsi"/>
                <w:sz w:val="23"/>
                <w:szCs w:val="23"/>
              </w:rPr>
            </w:pPr>
          </w:p>
        </w:tc>
        <w:tc>
          <w:tcPr>
            <w:tcW w:w="2977" w:type="dxa"/>
          </w:tcPr>
          <w:tbl>
            <w:tblPr>
              <w:tblW w:w="0" w:type="auto"/>
              <w:tblBorders>
                <w:top w:val="nil"/>
                <w:left w:val="nil"/>
                <w:bottom w:val="nil"/>
                <w:right w:val="nil"/>
              </w:tblBorders>
              <w:tblLayout w:type="fixed"/>
              <w:tblLook w:val="0000" w:firstRow="0" w:lastRow="0" w:firstColumn="0" w:lastColumn="0" w:noHBand="0" w:noVBand="0"/>
            </w:tblPr>
            <w:tblGrid>
              <w:gridCol w:w="2657"/>
              <w:gridCol w:w="236"/>
            </w:tblGrid>
            <w:tr w:rsidR="00D835B9">
              <w:trPr>
                <w:trHeight w:val="278"/>
              </w:trPr>
              <w:tc>
                <w:tcPr>
                  <w:tcW w:w="2657" w:type="dxa"/>
                </w:tcPr>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Careers Fair</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proofErr w:type="spellStart"/>
                  <w:r>
                    <w:rPr>
                      <w:rFonts w:asciiTheme="majorHAnsi" w:hAnsiTheme="majorHAnsi" w:cstheme="majorHAnsi"/>
                      <w:color w:val="000000"/>
                      <w:sz w:val="23"/>
                      <w:szCs w:val="23"/>
                    </w:rPr>
                    <w:t>FutureU</w:t>
                  </w:r>
                  <w:proofErr w:type="spellEnd"/>
                  <w:r>
                    <w:rPr>
                      <w:rFonts w:asciiTheme="majorHAnsi" w:hAnsiTheme="majorHAnsi" w:cstheme="majorHAnsi"/>
                      <w:color w:val="000000"/>
                      <w:sz w:val="23"/>
                      <w:szCs w:val="23"/>
                    </w:rPr>
                    <w:t xml:space="preserve"> outreach sessions focusing on the 7 LEP Sector Skills priorities</w:t>
                  </w:r>
                </w:p>
              </w:tc>
              <w:tc>
                <w:tcPr>
                  <w:tcW w:w="222" w:type="dxa"/>
                </w:tcPr>
                <w:p w:rsidR="00D835B9" w:rsidRDefault="00D835B9">
                  <w:pPr>
                    <w:autoSpaceDE w:val="0"/>
                    <w:autoSpaceDN w:val="0"/>
                    <w:adjustRightInd w:val="0"/>
                    <w:spacing w:after="0" w:line="240" w:lineRule="auto"/>
                    <w:rPr>
                      <w:rFonts w:asciiTheme="majorHAnsi" w:hAnsiTheme="majorHAnsi" w:cstheme="majorHAnsi"/>
                      <w:color w:val="000000"/>
                      <w:sz w:val="23"/>
                      <w:szCs w:val="23"/>
                    </w:rPr>
                  </w:pPr>
                </w:p>
              </w:tc>
            </w:tr>
          </w:tbl>
          <w:p w:rsidR="00D835B9" w:rsidRDefault="00D835B9">
            <w:pPr>
              <w:rPr>
                <w:rFonts w:asciiTheme="majorHAnsi" w:hAnsiTheme="majorHAnsi" w:cstheme="majorHAnsi"/>
                <w:sz w:val="23"/>
                <w:szCs w:val="23"/>
              </w:rPr>
            </w:pPr>
          </w:p>
        </w:tc>
        <w:tc>
          <w:tcPr>
            <w:tcW w:w="2835" w:type="dxa"/>
          </w:tcPr>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KS4 options event</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One –to –One careers interviews</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Careers week with Humanities lessons</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Aim Higher University visits</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Mentoring from University alliance</w:t>
            </w:r>
          </w:p>
          <w:p w:rsidR="00D835B9" w:rsidRDefault="003D039D">
            <w:pPr>
              <w:rPr>
                <w:rFonts w:asciiTheme="majorHAnsi" w:hAnsiTheme="majorHAnsi" w:cstheme="majorHAnsi"/>
                <w:sz w:val="23"/>
                <w:szCs w:val="23"/>
              </w:rPr>
            </w:pPr>
            <w:proofErr w:type="spellStart"/>
            <w:r>
              <w:rPr>
                <w:rFonts w:asciiTheme="majorHAnsi" w:hAnsiTheme="majorHAnsi" w:cstheme="majorHAnsi"/>
                <w:color w:val="000000"/>
                <w:sz w:val="23"/>
                <w:szCs w:val="23"/>
              </w:rPr>
              <w:lastRenderedPageBreak/>
              <w:t>FutureU</w:t>
            </w:r>
            <w:proofErr w:type="spellEnd"/>
            <w:r>
              <w:rPr>
                <w:rFonts w:asciiTheme="majorHAnsi" w:hAnsiTheme="majorHAnsi" w:cstheme="majorHAnsi"/>
                <w:color w:val="000000"/>
                <w:sz w:val="23"/>
                <w:szCs w:val="23"/>
              </w:rPr>
              <w:t xml:space="preserve"> outreach sessions focusing o</w:t>
            </w:r>
            <w:r>
              <w:rPr>
                <w:rFonts w:asciiTheme="majorHAnsi" w:hAnsiTheme="majorHAnsi" w:cstheme="majorHAnsi"/>
                <w:color w:val="000000"/>
                <w:sz w:val="23"/>
                <w:szCs w:val="23"/>
              </w:rPr>
              <w:t>n the 7 LEP Sector Skills priorities</w:t>
            </w:r>
          </w:p>
        </w:tc>
        <w:tc>
          <w:tcPr>
            <w:tcW w:w="2551" w:type="dxa"/>
          </w:tcPr>
          <w:p w:rsidR="00D835B9" w:rsidRDefault="003D039D">
            <w:pPr>
              <w:rPr>
                <w:rFonts w:asciiTheme="majorHAnsi" w:hAnsiTheme="majorHAnsi" w:cstheme="majorHAnsi"/>
                <w:sz w:val="23"/>
                <w:szCs w:val="23"/>
              </w:rPr>
            </w:pPr>
            <w:r>
              <w:rPr>
                <w:rFonts w:asciiTheme="majorHAnsi" w:hAnsiTheme="majorHAnsi" w:cstheme="majorHAnsi"/>
                <w:sz w:val="23"/>
                <w:szCs w:val="23"/>
              </w:rPr>
              <w:lastRenderedPageBreak/>
              <w:t>College taster events</w:t>
            </w:r>
          </w:p>
        </w:tc>
      </w:tr>
      <w:tr w:rsidR="00D835B9">
        <w:tc>
          <w:tcPr>
            <w:tcW w:w="846" w:type="dxa"/>
          </w:tcPr>
          <w:p w:rsidR="00D835B9" w:rsidRDefault="00D835B9">
            <w:pPr>
              <w:rPr>
                <w:rFonts w:asciiTheme="majorHAnsi" w:hAnsiTheme="majorHAnsi" w:cstheme="majorHAnsi"/>
                <w:sz w:val="23"/>
                <w:szCs w:val="23"/>
              </w:rPr>
            </w:pPr>
          </w:p>
          <w:p w:rsidR="00D835B9" w:rsidRDefault="003D039D">
            <w:pPr>
              <w:rPr>
                <w:rFonts w:asciiTheme="majorHAnsi" w:hAnsiTheme="majorHAnsi" w:cstheme="majorHAnsi"/>
                <w:sz w:val="23"/>
                <w:szCs w:val="23"/>
              </w:rPr>
            </w:pPr>
            <w:r>
              <w:rPr>
                <w:rFonts w:asciiTheme="majorHAnsi" w:hAnsiTheme="majorHAnsi" w:cstheme="majorHAnsi"/>
                <w:sz w:val="23"/>
                <w:szCs w:val="23"/>
              </w:rPr>
              <w:t>YEAR 10</w:t>
            </w:r>
          </w:p>
          <w:p w:rsidR="00D835B9" w:rsidRDefault="00D835B9">
            <w:pPr>
              <w:rPr>
                <w:rFonts w:asciiTheme="majorHAnsi" w:hAnsiTheme="majorHAnsi" w:cstheme="majorHAnsi"/>
                <w:sz w:val="23"/>
                <w:szCs w:val="23"/>
              </w:rPr>
            </w:pPr>
          </w:p>
        </w:tc>
        <w:tc>
          <w:tcPr>
            <w:tcW w:w="2977" w:type="dxa"/>
          </w:tcPr>
          <w:tbl>
            <w:tblPr>
              <w:tblW w:w="0" w:type="auto"/>
              <w:tblBorders>
                <w:top w:val="nil"/>
                <w:left w:val="nil"/>
                <w:bottom w:val="nil"/>
                <w:right w:val="nil"/>
              </w:tblBorders>
              <w:tblLayout w:type="fixed"/>
              <w:tblLook w:val="0000" w:firstRow="0" w:lastRow="0" w:firstColumn="0" w:lastColumn="0" w:noHBand="0" w:noVBand="0"/>
            </w:tblPr>
            <w:tblGrid>
              <w:gridCol w:w="2726"/>
            </w:tblGrid>
            <w:tr w:rsidR="00D835B9">
              <w:trPr>
                <w:trHeight w:val="388"/>
              </w:trPr>
              <w:tc>
                <w:tcPr>
                  <w:tcW w:w="2726" w:type="dxa"/>
                </w:tcPr>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Careers Fair</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14 – 16 PLP provision</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proofErr w:type="spellStart"/>
                  <w:r>
                    <w:rPr>
                      <w:rFonts w:asciiTheme="majorHAnsi" w:hAnsiTheme="majorHAnsi" w:cstheme="majorHAnsi"/>
                      <w:color w:val="000000"/>
                      <w:sz w:val="23"/>
                      <w:szCs w:val="23"/>
                    </w:rPr>
                    <w:t>FutureU</w:t>
                  </w:r>
                  <w:proofErr w:type="spellEnd"/>
                  <w:r>
                    <w:rPr>
                      <w:rFonts w:asciiTheme="majorHAnsi" w:hAnsiTheme="majorHAnsi" w:cstheme="majorHAnsi"/>
                      <w:color w:val="000000"/>
                      <w:sz w:val="23"/>
                      <w:szCs w:val="23"/>
                    </w:rPr>
                    <w:t xml:space="preserve"> outreach sessions focusing on the 7 LEP Sector Skills priorities</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Industry site visits</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 xml:space="preserve">Introduction to work experience presentation to </w:t>
                  </w:r>
                  <w:r>
                    <w:rPr>
                      <w:rFonts w:asciiTheme="majorHAnsi" w:hAnsiTheme="majorHAnsi" w:cstheme="majorHAnsi"/>
                      <w:color w:val="000000"/>
                      <w:sz w:val="23"/>
                      <w:szCs w:val="23"/>
                    </w:rPr>
                    <w:t>parents/carers</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College and training providers attend parents evening</w:t>
                  </w:r>
                </w:p>
                <w:p w:rsidR="00D835B9" w:rsidRDefault="00D835B9">
                  <w:pPr>
                    <w:autoSpaceDE w:val="0"/>
                    <w:autoSpaceDN w:val="0"/>
                    <w:adjustRightInd w:val="0"/>
                    <w:spacing w:after="0" w:line="240" w:lineRule="auto"/>
                    <w:rPr>
                      <w:rFonts w:asciiTheme="majorHAnsi" w:hAnsiTheme="majorHAnsi" w:cstheme="majorHAnsi"/>
                      <w:color w:val="000000"/>
                      <w:sz w:val="23"/>
                      <w:szCs w:val="23"/>
                    </w:rPr>
                  </w:pPr>
                </w:p>
              </w:tc>
            </w:tr>
          </w:tbl>
          <w:p w:rsidR="00D835B9" w:rsidRDefault="00D835B9">
            <w:pPr>
              <w:rPr>
                <w:rFonts w:asciiTheme="majorHAnsi" w:hAnsiTheme="majorHAnsi" w:cstheme="majorHAnsi"/>
                <w:sz w:val="23"/>
                <w:szCs w:val="23"/>
              </w:rPr>
            </w:pPr>
          </w:p>
        </w:tc>
        <w:tc>
          <w:tcPr>
            <w:tcW w:w="2835" w:type="dxa"/>
          </w:tcPr>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Mentoring from University alliance</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14 – 16 PLP provision</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Industry site visits</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Aim Higher University visits</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 xml:space="preserve">My Futures Day </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Work experience preparation and skills training</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Enterprise ch</w:t>
            </w:r>
            <w:r>
              <w:rPr>
                <w:rFonts w:asciiTheme="majorHAnsi" w:hAnsiTheme="majorHAnsi" w:cstheme="majorHAnsi"/>
                <w:color w:val="000000"/>
                <w:sz w:val="23"/>
                <w:szCs w:val="23"/>
              </w:rPr>
              <w:t>allenge</w:t>
            </w:r>
          </w:p>
        </w:tc>
        <w:tc>
          <w:tcPr>
            <w:tcW w:w="2551" w:type="dxa"/>
          </w:tcPr>
          <w:p w:rsidR="00D835B9" w:rsidRDefault="003D039D">
            <w:pPr>
              <w:rPr>
                <w:rFonts w:asciiTheme="majorHAnsi" w:hAnsiTheme="majorHAnsi" w:cstheme="majorHAnsi"/>
                <w:sz w:val="23"/>
                <w:szCs w:val="23"/>
              </w:rPr>
            </w:pPr>
            <w:r>
              <w:rPr>
                <w:rFonts w:asciiTheme="majorHAnsi" w:hAnsiTheme="majorHAnsi" w:cstheme="majorHAnsi"/>
                <w:sz w:val="23"/>
                <w:szCs w:val="23"/>
              </w:rPr>
              <w:t>College taster events</w:t>
            </w:r>
          </w:p>
          <w:p w:rsidR="00D835B9" w:rsidRDefault="003D039D">
            <w:pPr>
              <w:rPr>
                <w:rFonts w:asciiTheme="majorHAnsi" w:hAnsiTheme="majorHAnsi" w:cstheme="majorHAnsi"/>
                <w:sz w:val="23"/>
                <w:szCs w:val="23"/>
              </w:rPr>
            </w:pPr>
            <w:r>
              <w:rPr>
                <w:rFonts w:asciiTheme="majorHAnsi" w:hAnsiTheme="majorHAnsi" w:cstheme="majorHAnsi"/>
                <w:sz w:val="23"/>
                <w:szCs w:val="23"/>
              </w:rPr>
              <w:t>Work Experience</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14 – 16 PLP provision</w:t>
            </w:r>
          </w:p>
          <w:p w:rsidR="00D835B9" w:rsidRDefault="003D039D">
            <w:pPr>
              <w:rPr>
                <w:rFonts w:asciiTheme="majorHAnsi" w:hAnsiTheme="majorHAnsi" w:cstheme="majorHAnsi"/>
                <w:color w:val="000000"/>
                <w:sz w:val="23"/>
                <w:szCs w:val="23"/>
              </w:rPr>
            </w:pPr>
            <w:r>
              <w:rPr>
                <w:rFonts w:asciiTheme="majorHAnsi" w:hAnsiTheme="majorHAnsi" w:cstheme="majorHAnsi"/>
                <w:color w:val="000000"/>
                <w:sz w:val="23"/>
                <w:szCs w:val="23"/>
              </w:rPr>
              <w:t>Employer led mentoring programme</w:t>
            </w:r>
          </w:p>
          <w:p w:rsidR="00D835B9" w:rsidRDefault="003D039D">
            <w:pPr>
              <w:rPr>
                <w:rFonts w:asciiTheme="majorHAnsi" w:hAnsiTheme="majorHAnsi" w:cstheme="majorHAnsi"/>
                <w:sz w:val="23"/>
                <w:szCs w:val="23"/>
              </w:rPr>
            </w:pPr>
            <w:r>
              <w:rPr>
                <w:rFonts w:asciiTheme="majorHAnsi" w:hAnsiTheme="majorHAnsi" w:cstheme="majorHAnsi"/>
                <w:color w:val="000000"/>
                <w:sz w:val="23"/>
                <w:szCs w:val="23"/>
              </w:rPr>
              <w:t>Industry site visits</w:t>
            </w:r>
          </w:p>
        </w:tc>
      </w:tr>
      <w:tr w:rsidR="00D835B9">
        <w:tc>
          <w:tcPr>
            <w:tcW w:w="846" w:type="dxa"/>
          </w:tcPr>
          <w:p w:rsidR="00D835B9" w:rsidRDefault="00D835B9">
            <w:pPr>
              <w:rPr>
                <w:rFonts w:asciiTheme="majorHAnsi" w:hAnsiTheme="majorHAnsi" w:cstheme="majorHAnsi"/>
                <w:sz w:val="23"/>
                <w:szCs w:val="23"/>
              </w:rPr>
            </w:pPr>
          </w:p>
          <w:p w:rsidR="00D835B9" w:rsidRDefault="003D039D">
            <w:pPr>
              <w:rPr>
                <w:rFonts w:asciiTheme="majorHAnsi" w:hAnsiTheme="majorHAnsi" w:cstheme="majorHAnsi"/>
                <w:sz w:val="23"/>
                <w:szCs w:val="23"/>
              </w:rPr>
            </w:pPr>
            <w:r>
              <w:rPr>
                <w:rFonts w:asciiTheme="majorHAnsi" w:hAnsiTheme="majorHAnsi" w:cstheme="majorHAnsi"/>
                <w:sz w:val="23"/>
                <w:szCs w:val="23"/>
              </w:rPr>
              <w:t>YEAR 11</w:t>
            </w:r>
          </w:p>
          <w:p w:rsidR="00D835B9" w:rsidRDefault="00D835B9">
            <w:pPr>
              <w:rPr>
                <w:rFonts w:asciiTheme="majorHAnsi" w:hAnsiTheme="majorHAnsi" w:cstheme="majorHAnsi"/>
                <w:sz w:val="23"/>
                <w:szCs w:val="23"/>
              </w:rPr>
            </w:pPr>
          </w:p>
        </w:tc>
        <w:tc>
          <w:tcPr>
            <w:tcW w:w="2977" w:type="dxa"/>
          </w:tcPr>
          <w:p w:rsidR="00D835B9" w:rsidRDefault="003D039D">
            <w:r>
              <w:t>Careers and mentoring evening</w:t>
            </w:r>
          </w:p>
          <w:tbl>
            <w:tblPr>
              <w:tblW w:w="2879" w:type="dxa"/>
              <w:tblBorders>
                <w:top w:val="nil"/>
                <w:left w:val="nil"/>
                <w:bottom w:val="nil"/>
                <w:right w:val="nil"/>
              </w:tblBorders>
              <w:tblLayout w:type="fixed"/>
              <w:tblLook w:val="0000" w:firstRow="0" w:lastRow="0" w:firstColumn="0" w:lastColumn="0" w:noHBand="0" w:noVBand="0"/>
            </w:tblPr>
            <w:tblGrid>
              <w:gridCol w:w="2879"/>
            </w:tblGrid>
            <w:tr w:rsidR="00D835B9">
              <w:trPr>
                <w:trHeight w:val="664"/>
              </w:trPr>
              <w:tc>
                <w:tcPr>
                  <w:tcW w:w="2879" w:type="dxa"/>
                </w:tcPr>
                <w:p w:rsidR="00D835B9" w:rsidRDefault="003D039D">
                  <w:pPr>
                    <w:pStyle w:val="NoSpacing"/>
                    <w:rPr>
                      <w:sz w:val="23"/>
                      <w:szCs w:val="23"/>
                    </w:rPr>
                  </w:pPr>
                  <w:r>
                    <w:rPr>
                      <w:sz w:val="23"/>
                      <w:szCs w:val="23"/>
                    </w:rPr>
                    <w:t xml:space="preserve">Careers Fair </w:t>
                  </w:r>
                </w:p>
                <w:p w:rsidR="00D835B9" w:rsidRDefault="003D039D">
                  <w:pPr>
                    <w:pStyle w:val="NoSpacing"/>
                    <w:rPr>
                      <w:sz w:val="23"/>
                      <w:szCs w:val="23"/>
                    </w:rPr>
                  </w:pPr>
                  <w:r>
                    <w:rPr>
                      <w:sz w:val="23"/>
                      <w:szCs w:val="23"/>
                    </w:rPr>
                    <w:t>One –to –One careers interviews</w:t>
                  </w:r>
                </w:p>
                <w:p w:rsidR="00D835B9" w:rsidRDefault="003D039D">
                  <w:pPr>
                    <w:pStyle w:val="NoSpacing"/>
                    <w:rPr>
                      <w:sz w:val="23"/>
                      <w:szCs w:val="23"/>
                    </w:rPr>
                  </w:pPr>
                  <w:r>
                    <w:rPr>
                      <w:sz w:val="23"/>
                      <w:szCs w:val="23"/>
                    </w:rPr>
                    <w:t>14 – 16 PLP provision</w:t>
                  </w:r>
                </w:p>
                <w:p w:rsidR="00D835B9" w:rsidRDefault="003D039D">
                  <w:pPr>
                    <w:pStyle w:val="NoSpacing"/>
                    <w:rPr>
                      <w:sz w:val="23"/>
                      <w:szCs w:val="23"/>
                    </w:rPr>
                  </w:pPr>
                  <w:r>
                    <w:rPr>
                      <w:sz w:val="23"/>
                      <w:szCs w:val="23"/>
                    </w:rPr>
                    <w:t>College applications</w:t>
                  </w:r>
                </w:p>
                <w:p w:rsidR="00D835B9" w:rsidRDefault="003D039D">
                  <w:pPr>
                    <w:pStyle w:val="NoSpacing"/>
                    <w:rPr>
                      <w:sz w:val="23"/>
                      <w:szCs w:val="23"/>
                    </w:rPr>
                  </w:pPr>
                  <w:r>
                    <w:rPr>
                      <w:sz w:val="23"/>
                      <w:szCs w:val="23"/>
                    </w:rPr>
                    <w:t>Apprenticeship applications</w:t>
                  </w:r>
                </w:p>
                <w:p w:rsidR="00D835B9" w:rsidRDefault="003D039D">
                  <w:pPr>
                    <w:pStyle w:val="NoSpacing"/>
                    <w:rPr>
                      <w:sz w:val="23"/>
                      <w:szCs w:val="23"/>
                    </w:rPr>
                  </w:pPr>
                  <w:r>
                    <w:rPr>
                      <w:sz w:val="23"/>
                      <w:szCs w:val="23"/>
                    </w:rPr>
                    <w:t>Post – 16 Presentations including FE and apprenticeships</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Mock interviews</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 xml:space="preserve">Completion of CVs </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Personal statements</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proofErr w:type="spellStart"/>
                  <w:r>
                    <w:rPr>
                      <w:rFonts w:asciiTheme="majorHAnsi" w:hAnsiTheme="majorHAnsi" w:cstheme="majorHAnsi"/>
                      <w:color w:val="000000"/>
                      <w:sz w:val="23"/>
                      <w:szCs w:val="23"/>
                    </w:rPr>
                    <w:t>FutureU</w:t>
                  </w:r>
                  <w:proofErr w:type="spellEnd"/>
                  <w:r>
                    <w:rPr>
                      <w:rFonts w:asciiTheme="majorHAnsi" w:hAnsiTheme="majorHAnsi" w:cstheme="majorHAnsi"/>
                      <w:color w:val="000000"/>
                      <w:sz w:val="23"/>
                      <w:szCs w:val="23"/>
                    </w:rPr>
                    <w:t xml:space="preserve"> outreach sessions focusing on the 7 LEP Sector</w:t>
                  </w:r>
                </w:p>
              </w:tc>
            </w:tr>
          </w:tbl>
          <w:p w:rsidR="00D835B9" w:rsidRDefault="00D835B9">
            <w:pPr>
              <w:rPr>
                <w:rFonts w:asciiTheme="majorHAnsi" w:hAnsiTheme="majorHAnsi" w:cstheme="majorHAnsi"/>
                <w:sz w:val="23"/>
                <w:szCs w:val="23"/>
              </w:rPr>
            </w:pPr>
          </w:p>
        </w:tc>
        <w:tc>
          <w:tcPr>
            <w:tcW w:w="2835" w:type="dxa"/>
          </w:tcPr>
          <w:tbl>
            <w:tblPr>
              <w:tblW w:w="0" w:type="auto"/>
              <w:tblBorders>
                <w:top w:val="nil"/>
                <w:left w:val="nil"/>
                <w:bottom w:val="nil"/>
                <w:right w:val="nil"/>
              </w:tblBorders>
              <w:tblLayout w:type="fixed"/>
              <w:tblLook w:val="0000" w:firstRow="0" w:lastRow="0" w:firstColumn="0" w:lastColumn="0" w:noHBand="0" w:noVBand="0"/>
            </w:tblPr>
            <w:tblGrid>
              <w:gridCol w:w="2326"/>
            </w:tblGrid>
            <w:tr w:rsidR="00D835B9">
              <w:trPr>
                <w:trHeight w:val="664"/>
              </w:trPr>
              <w:tc>
                <w:tcPr>
                  <w:tcW w:w="2326" w:type="dxa"/>
                </w:tcPr>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Apprenticeship day</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Barclays life skills</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Post 16 interviews</w:t>
                  </w:r>
                </w:p>
                <w:p w:rsidR="00D835B9" w:rsidRDefault="003D039D">
                  <w:pPr>
                    <w:autoSpaceDE w:val="0"/>
                    <w:autoSpaceDN w:val="0"/>
                    <w:adjustRightInd w:val="0"/>
                    <w:spacing w:after="0" w:line="240" w:lineRule="auto"/>
                    <w:rPr>
                      <w:rFonts w:asciiTheme="majorHAnsi" w:hAnsiTheme="majorHAnsi" w:cstheme="majorHAnsi"/>
                      <w:color w:val="000000"/>
                      <w:sz w:val="23"/>
                      <w:szCs w:val="23"/>
                    </w:rPr>
                  </w:pPr>
                  <w:r>
                    <w:rPr>
                      <w:rFonts w:asciiTheme="majorHAnsi" w:hAnsiTheme="majorHAnsi" w:cstheme="majorHAnsi"/>
                      <w:color w:val="000000"/>
                      <w:sz w:val="23"/>
                      <w:szCs w:val="23"/>
                    </w:rPr>
                    <w:t>Industry site visits</w:t>
                  </w:r>
                </w:p>
                <w:p w:rsidR="00D835B9" w:rsidRDefault="00D835B9">
                  <w:pPr>
                    <w:autoSpaceDE w:val="0"/>
                    <w:autoSpaceDN w:val="0"/>
                    <w:adjustRightInd w:val="0"/>
                    <w:spacing w:after="0" w:line="240" w:lineRule="auto"/>
                    <w:rPr>
                      <w:rFonts w:asciiTheme="majorHAnsi" w:hAnsiTheme="majorHAnsi" w:cstheme="majorHAnsi"/>
                      <w:color w:val="000000"/>
                      <w:sz w:val="23"/>
                      <w:szCs w:val="23"/>
                    </w:rPr>
                  </w:pPr>
                </w:p>
              </w:tc>
            </w:tr>
          </w:tbl>
          <w:p w:rsidR="00D835B9" w:rsidRDefault="00D835B9">
            <w:pPr>
              <w:rPr>
                <w:rFonts w:asciiTheme="majorHAnsi" w:hAnsiTheme="majorHAnsi" w:cstheme="majorHAnsi"/>
                <w:sz w:val="23"/>
                <w:szCs w:val="23"/>
              </w:rPr>
            </w:pPr>
          </w:p>
        </w:tc>
        <w:tc>
          <w:tcPr>
            <w:tcW w:w="2551" w:type="dxa"/>
          </w:tcPr>
          <w:p w:rsidR="00D835B9" w:rsidRDefault="003D039D">
            <w:pPr>
              <w:rPr>
                <w:rFonts w:asciiTheme="majorHAnsi" w:hAnsiTheme="majorHAnsi" w:cstheme="majorHAnsi"/>
                <w:sz w:val="23"/>
                <w:szCs w:val="23"/>
              </w:rPr>
            </w:pPr>
            <w:r>
              <w:rPr>
                <w:rFonts w:asciiTheme="majorHAnsi" w:hAnsiTheme="majorHAnsi" w:cstheme="majorHAnsi"/>
                <w:color w:val="000000"/>
                <w:sz w:val="23"/>
                <w:szCs w:val="23"/>
              </w:rPr>
              <w:t>Support and advice post results</w:t>
            </w:r>
          </w:p>
        </w:tc>
      </w:tr>
    </w:tbl>
    <w:p w:rsidR="00D835B9" w:rsidRDefault="003D039D">
      <w:pPr>
        <w:jc w:val="center"/>
        <w:rPr>
          <w:rFonts w:asciiTheme="majorHAnsi" w:hAnsiTheme="majorHAnsi" w:cstheme="majorHAnsi"/>
          <w:b/>
          <w:sz w:val="28"/>
          <w:szCs w:val="28"/>
        </w:rPr>
      </w:pPr>
      <w:r>
        <w:rPr>
          <w:rFonts w:asciiTheme="majorHAnsi" w:hAnsiTheme="majorHAnsi" w:cstheme="majorHAnsi"/>
          <w:b/>
          <w:sz w:val="28"/>
          <w:szCs w:val="28"/>
        </w:rPr>
        <w:t>The careers office is open every break time to allow ALL students access to careers advice</w:t>
      </w:r>
    </w:p>
    <w:p w:rsidR="00D835B9" w:rsidRDefault="003D039D">
      <w:pPr>
        <w:pStyle w:val="Default"/>
        <w:rPr>
          <w:sz w:val="23"/>
          <w:szCs w:val="23"/>
        </w:rPr>
      </w:pPr>
      <w:r>
        <w:rPr>
          <w:sz w:val="23"/>
          <w:szCs w:val="23"/>
        </w:rPr>
        <w:t xml:space="preserve">Please speak to our Careers Leader to identify the most suitable opportunity for you. </w:t>
      </w:r>
    </w:p>
    <w:p w:rsidR="00D835B9" w:rsidRDefault="00D835B9">
      <w:pPr>
        <w:pStyle w:val="Default"/>
        <w:rPr>
          <w:b/>
          <w:bCs/>
          <w:sz w:val="23"/>
          <w:szCs w:val="23"/>
        </w:rPr>
      </w:pPr>
    </w:p>
    <w:p w:rsidR="00D835B9" w:rsidRDefault="003D039D">
      <w:pPr>
        <w:pStyle w:val="Default"/>
        <w:rPr>
          <w:sz w:val="23"/>
          <w:szCs w:val="23"/>
        </w:rPr>
      </w:pPr>
      <w:r>
        <w:rPr>
          <w:b/>
          <w:bCs/>
          <w:sz w:val="23"/>
          <w:szCs w:val="23"/>
        </w:rPr>
        <w:t xml:space="preserve">Premises and facilities </w:t>
      </w:r>
    </w:p>
    <w:p w:rsidR="00D835B9" w:rsidRDefault="00D835B9">
      <w:pPr>
        <w:pStyle w:val="Default"/>
        <w:rPr>
          <w:sz w:val="23"/>
          <w:szCs w:val="23"/>
        </w:rPr>
      </w:pPr>
    </w:p>
    <w:p w:rsidR="00D835B9" w:rsidRDefault="003D039D">
      <w:pPr>
        <w:pStyle w:val="Default"/>
        <w:rPr>
          <w:sz w:val="23"/>
          <w:szCs w:val="23"/>
        </w:rPr>
      </w:pPr>
      <w:r>
        <w:rPr>
          <w:sz w:val="23"/>
          <w:szCs w:val="23"/>
        </w:rPr>
        <w:t>The school will make the main hall, classrooms or private meeting rooms available for discussions between the provider and students, as appropriate to the activity. The school will also make available AV and other specialist equip</w:t>
      </w:r>
      <w:r>
        <w:rPr>
          <w:sz w:val="23"/>
          <w:szCs w:val="23"/>
        </w:rPr>
        <w:t xml:space="preserve">ment to support provider presentations. This will all be discussed and agreed in advance of the visit with the Careers Leader or a member of their team. </w:t>
      </w:r>
    </w:p>
    <w:p w:rsidR="00D835B9" w:rsidRDefault="00D835B9">
      <w:pPr>
        <w:pStyle w:val="Default"/>
        <w:rPr>
          <w:sz w:val="23"/>
          <w:szCs w:val="23"/>
        </w:rPr>
      </w:pPr>
    </w:p>
    <w:p w:rsidR="00D835B9" w:rsidRDefault="003D039D">
      <w:pPr>
        <w:pStyle w:val="Default"/>
        <w:rPr>
          <w:sz w:val="23"/>
          <w:szCs w:val="23"/>
        </w:rPr>
      </w:pPr>
      <w:r>
        <w:rPr>
          <w:sz w:val="23"/>
          <w:szCs w:val="23"/>
        </w:rPr>
        <w:t xml:space="preserve">Providers are welcome to leave a copy of their prospectus or other relevant course literature at the </w:t>
      </w:r>
      <w:r>
        <w:rPr>
          <w:sz w:val="23"/>
          <w:szCs w:val="23"/>
        </w:rPr>
        <w:t xml:space="preserve">Careers Resource Centre, which is managed by the school librarian. The Resource Centre is available to all students at lunch and break times. </w:t>
      </w:r>
    </w:p>
    <w:p w:rsidR="00D835B9" w:rsidRDefault="00D835B9">
      <w:pPr>
        <w:pStyle w:val="Default"/>
        <w:rPr>
          <w:b/>
          <w:bCs/>
          <w:sz w:val="23"/>
          <w:szCs w:val="23"/>
        </w:rPr>
      </w:pPr>
    </w:p>
    <w:p w:rsidR="00D835B9" w:rsidRDefault="00D835B9">
      <w:pPr>
        <w:pStyle w:val="Default"/>
        <w:rPr>
          <w:b/>
          <w:bCs/>
          <w:sz w:val="23"/>
          <w:szCs w:val="23"/>
        </w:rPr>
      </w:pPr>
    </w:p>
    <w:p w:rsidR="00D835B9" w:rsidRDefault="00D835B9">
      <w:pPr>
        <w:pStyle w:val="Default"/>
        <w:rPr>
          <w:b/>
          <w:bCs/>
          <w:sz w:val="23"/>
          <w:szCs w:val="23"/>
        </w:rPr>
      </w:pPr>
    </w:p>
    <w:p w:rsidR="00D835B9" w:rsidRDefault="00D835B9">
      <w:pPr>
        <w:pStyle w:val="Default"/>
        <w:rPr>
          <w:b/>
          <w:bCs/>
          <w:sz w:val="23"/>
          <w:szCs w:val="23"/>
        </w:rPr>
      </w:pPr>
    </w:p>
    <w:p w:rsidR="00D835B9" w:rsidRDefault="003D039D">
      <w:pPr>
        <w:pStyle w:val="Default"/>
        <w:rPr>
          <w:sz w:val="23"/>
          <w:szCs w:val="23"/>
        </w:rPr>
      </w:pPr>
      <w:r>
        <w:rPr>
          <w:b/>
          <w:bCs/>
          <w:sz w:val="23"/>
          <w:szCs w:val="23"/>
        </w:rPr>
        <w:t xml:space="preserve">Approval and review </w:t>
      </w:r>
    </w:p>
    <w:p w:rsidR="00D835B9" w:rsidRDefault="003D039D">
      <w:pPr>
        <w:pStyle w:val="Default"/>
        <w:rPr>
          <w:sz w:val="23"/>
          <w:szCs w:val="23"/>
        </w:rPr>
      </w:pPr>
      <w:proofErr w:type="gramStart"/>
      <w:r>
        <w:rPr>
          <w:sz w:val="23"/>
          <w:szCs w:val="23"/>
        </w:rPr>
        <w:t xml:space="preserve">Approved </w:t>
      </w:r>
      <w:r>
        <w:rPr>
          <w:i/>
          <w:iCs/>
          <w:sz w:val="23"/>
          <w:szCs w:val="23"/>
        </w:rPr>
        <w:t xml:space="preserve"> </w:t>
      </w:r>
      <w:r>
        <w:rPr>
          <w:sz w:val="23"/>
          <w:szCs w:val="23"/>
        </w:rPr>
        <w:t>by</w:t>
      </w:r>
      <w:proofErr w:type="gramEnd"/>
      <w:r>
        <w:rPr>
          <w:sz w:val="23"/>
          <w:szCs w:val="23"/>
        </w:rPr>
        <w:t xml:space="preserve"> Governors at Curriculum and Standards Committee </w:t>
      </w:r>
    </w:p>
    <w:p w:rsidR="00D835B9" w:rsidRDefault="00D835B9">
      <w:pPr>
        <w:pStyle w:val="Default"/>
        <w:rPr>
          <w:sz w:val="23"/>
          <w:szCs w:val="23"/>
        </w:rPr>
      </w:pPr>
    </w:p>
    <w:p w:rsidR="00D835B9" w:rsidRDefault="003D039D">
      <w:pPr>
        <w:pStyle w:val="Default"/>
        <w:rPr>
          <w:sz w:val="23"/>
          <w:szCs w:val="23"/>
        </w:rPr>
      </w:pPr>
      <w:r>
        <w:rPr>
          <w:sz w:val="23"/>
          <w:szCs w:val="23"/>
        </w:rPr>
        <w:t xml:space="preserve">Next review: </w:t>
      </w:r>
      <w:r w:rsidR="0031622B" w:rsidRPr="0031622B">
        <w:rPr>
          <w:iCs/>
          <w:sz w:val="23"/>
          <w:szCs w:val="23"/>
        </w:rPr>
        <w:t>Summer 2019</w:t>
      </w:r>
    </w:p>
    <w:p w:rsidR="00D835B9" w:rsidRDefault="00D835B9">
      <w:pPr>
        <w:pStyle w:val="Default"/>
        <w:rPr>
          <w:sz w:val="23"/>
          <w:szCs w:val="23"/>
        </w:rPr>
      </w:pPr>
    </w:p>
    <w:p w:rsidR="00D835B9" w:rsidRDefault="00D835B9">
      <w:pPr>
        <w:pStyle w:val="Default"/>
        <w:rPr>
          <w:sz w:val="23"/>
          <w:szCs w:val="23"/>
        </w:rPr>
      </w:pPr>
    </w:p>
    <w:p w:rsidR="00D835B9" w:rsidRDefault="00D835B9">
      <w:pPr>
        <w:pStyle w:val="Default"/>
        <w:rPr>
          <w:sz w:val="23"/>
          <w:szCs w:val="23"/>
        </w:rPr>
      </w:pPr>
    </w:p>
    <w:p w:rsidR="00D835B9" w:rsidRDefault="00D835B9">
      <w:pPr>
        <w:pStyle w:val="Default"/>
        <w:rPr>
          <w:sz w:val="23"/>
          <w:szCs w:val="23"/>
        </w:rPr>
      </w:pPr>
    </w:p>
    <w:p w:rsidR="00D835B9" w:rsidRDefault="00D835B9">
      <w:pPr>
        <w:pStyle w:val="Default"/>
        <w:rPr>
          <w:sz w:val="23"/>
          <w:szCs w:val="23"/>
        </w:rPr>
      </w:pPr>
    </w:p>
    <w:p w:rsidR="00D835B9" w:rsidRDefault="003D039D">
      <w:pPr>
        <w:pStyle w:val="Default"/>
        <w:rPr>
          <w:i/>
          <w:iCs/>
          <w:sz w:val="23"/>
          <w:szCs w:val="23"/>
        </w:rPr>
      </w:pPr>
      <w:r>
        <w:rPr>
          <w:sz w:val="23"/>
          <w:szCs w:val="23"/>
        </w:rPr>
        <w:t>Signed A E Pickup,</w:t>
      </w:r>
      <w:r>
        <w:rPr>
          <w:i/>
          <w:iCs/>
          <w:sz w:val="23"/>
          <w:szCs w:val="23"/>
        </w:rPr>
        <w:t xml:space="preserve"> </w:t>
      </w:r>
      <w:r>
        <w:rPr>
          <w:sz w:val="23"/>
          <w:szCs w:val="23"/>
        </w:rPr>
        <w:t xml:space="preserve">Chair of Governors </w:t>
      </w:r>
    </w:p>
    <w:p w:rsidR="00D835B9" w:rsidRDefault="00D835B9">
      <w:pPr>
        <w:pStyle w:val="Default"/>
        <w:rPr>
          <w:i/>
          <w:iCs/>
          <w:sz w:val="23"/>
          <w:szCs w:val="23"/>
        </w:rPr>
      </w:pPr>
    </w:p>
    <w:p w:rsidR="00D835B9" w:rsidRDefault="00D835B9">
      <w:pPr>
        <w:pStyle w:val="Default"/>
        <w:rPr>
          <w:i/>
          <w:iCs/>
          <w:sz w:val="23"/>
          <w:szCs w:val="23"/>
        </w:rPr>
      </w:pPr>
    </w:p>
    <w:p w:rsidR="00D835B9" w:rsidRDefault="003D039D">
      <w:pPr>
        <w:pStyle w:val="Default"/>
        <w:rPr>
          <w:sz w:val="23"/>
          <w:szCs w:val="23"/>
        </w:rPr>
      </w:pPr>
      <w:r>
        <w:rPr>
          <w:i/>
          <w:iCs/>
          <w:sz w:val="23"/>
          <w:szCs w:val="23"/>
        </w:rPr>
        <w:t xml:space="preserve">James Harris] </w:t>
      </w:r>
      <w:proofErr w:type="spellStart"/>
      <w:r>
        <w:rPr>
          <w:sz w:val="23"/>
          <w:szCs w:val="23"/>
        </w:rPr>
        <w:t>Headteacher</w:t>
      </w:r>
      <w:proofErr w:type="spellEnd"/>
    </w:p>
    <w:p w:rsidR="00D835B9" w:rsidRDefault="00D835B9">
      <w:pPr>
        <w:pStyle w:val="Default"/>
        <w:rPr>
          <w:color w:val="auto"/>
        </w:rPr>
      </w:pPr>
    </w:p>
    <w:sectPr w:rsidR="00D83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510"/>
    <w:multiLevelType w:val="hybridMultilevel"/>
    <w:tmpl w:val="01FA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660AE"/>
    <w:multiLevelType w:val="hybridMultilevel"/>
    <w:tmpl w:val="8144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B9"/>
    <w:rsid w:val="0031622B"/>
    <w:rsid w:val="003D039D"/>
    <w:rsid w:val="00D835B9"/>
    <w:rsid w:val="00DC0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102C"/>
  <w15:chartTrackingRefBased/>
  <w15:docId w15:val="{79F28B8F-EAB4-4F2C-BC82-E8E695E4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316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cargill@waltonledale.lancs.sch.uk" TargetMode="External"/><Relationship Id="rId5" Type="http://schemas.openxmlformats.org/officeDocument/2006/relationships/hyperlink" Target="mailto:s.mathers@waltonledale.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Hinchliffe</dc:creator>
  <cp:keywords/>
  <dc:description/>
  <cp:lastModifiedBy>J Harris</cp:lastModifiedBy>
  <cp:revision>2</cp:revision>
  <dcterms:created xsi:type="dcterms:W3CDTF">2018-09-05T20:34:00Z</dcterms:created>
  <dcterms:modified xsi:type="dcterms:W3CDTF">2018-09-05T20:34:00Z</dcterms:modified>
</cp:coreProperties>
</file>