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222798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bookmarkStart w:id="0" w:name="_GoBack" w:displacedByCustomXml="prev"/>
        <w:bookmarkEnd w:id="0" w:displacedByCustomXml="prev"/>
        <w:p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314960</wp:posOffset>
                    </wp:positionH>
                    <wp:positionV relativeFrom="page">
                      <wp:posOffset>241408</wp:posOffset>
                    </wp:positionV>
                    <wp:extent cx="7315200" cy="1215391"/>
                    <wp:effectExtent l="0" t="0" r="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o:spid="_x0000_s1026" style="position:absolute;margin-left:24.8pt;margin-top:19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4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Abstract"/>
                                    <w:tag w:val=""/>
                                    <w:id w:val="492772815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374FA9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14:paraId="554A25FF" w14:textId="4E9FCF62" w:rsidR="00352E9D" w:rsidRDefault="00BC68E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Abstract"/>
                              <w:tag w:val=""/>
                              <w:id w:val="492772815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352E9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319177</wp:posOffset>
                    </wp:positionH>
                    <wp:positionV relativeFrom="page">
                      <wp:posOffset>5788325</wp:posOffset>
                    </wp:positionV>
                    <wp:extent cx="7315200" cy="646981"/>
                    <wp:effectExtent l="0" t="0" r="0" b="127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6469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GB"/>
                                      </w:rPr>
                                      <w:t>Lorimer Russell-Hayes - National Leader of Governance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Gov.l-russellhayes@penworthamgirls.lancs.sch.uk</w:t>
                                    </w:r>
                                  </w:sdtContent>
                                </w:sdt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C8244E0" id="Text Box 152" o:spid="_x0000_s1027" type="#_x0000_t202" style="position:absolute;margin-left:25.15pt;margin-top:455.75pt;width:8in;height:50.95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1D19430" w14:textId="66C97CD3" w:rsidR="00352E9D" w:rsidRDefault="00352E9D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GB"/>
                                </w:rPr>
                                <w:t>Lorimer Russell-Hayes - National Leader of Governance</w:t>
                              </w:r>
                            </w:p>
                          </w:sdtContent>
                        </w:sdt>
                        <w:p w14:paraId="302EB9D9" w14:textId="74543DA8" w:rsidR="00352E9D" w:rsidRDefault="00BC68E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E121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Gov.l-russellhayes@penworthamgirls.lancs.sch.uk</w:t>
                              </w:r>
                            </w:sdtContent>
                          </w:sdt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2185200" cy="1080000"/>
                <wp:effectExtent l="0" t="0" r="5715" b="6350"/>
                <wp:docPr id="24" name="Picture 24" descr="National College for Teaching and Leadership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National College for Teaching and Leadership" title="Logo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353683</wp:posOffset>
                    </wp:positionH>
                    <wp:positionV relativeFrom="page">
                      <wp:posOffset>2104845</wp:posOffset>
                    </wp:positionV>
                    <wp:extent cx="7315200" cy="3638550"/>
                    <wp:effectExtent l="0" t="0" r="0" b="0"/>
                    <wp:wrapTight wrapText="bothSides">
                      <wp:wrapPolygon edited="0">
                        <wp:start x="3353" y="0"/>
                        <wp:lineTo x="3353" y="21440"/>
                        <wp:lineTo x="20162" y="21440"/>
                        <wp:lineTo x="20162" y="0"/>
                        <wp:lineTo x="3353" y="0"/>
                      </wp:wrapPolygon>
                    </wp:wrapTight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External Review of Governance – ACTION 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27.85pt;margin-top:165.75pt;width:8in;height:286.5pt;z-index:-251657216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" filled="f" stroked="f" strokeweight=".5pt">
                    <v:textbox inset="126pt,0,54pt,0">
                      <w:txbxContent>
                        <w:p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External Review of Governance – ACTION PLAN</w:t>
                              </w:r>
                            </w:sdtContent>
                          </w:sdt>
                        </w:p>
                      </w:txbxContent>
                    </v:textbox>
                    <w10:wrap type="tight" anchorx="page" anchory="page"/>
                  </v:shape>
                </w:pict>
              </mc:Fallback>
            </mc:AlternateContent>
          </w:r>
          <w:r>
            <w:rPr>
              <w:sz w:val="20"/>
              <w:szCs w:val="20"/>
            </w:rPr>
            <w:br w:type="page"/>
          </w:r>
        </w:p>
      </w:sdtContent>
    </w:sdt>
    <w:p>
      <w:pPr>
        <w:ind w:right="111"/>
      </w:pPr>
    </w:p>
    <w:tbl>
      <w:tblPr>
        <w:tblW w:w="512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11"/>
        <w:gridCol w:w="1473"/>
        <w:gridCol w:w="3694"/>
        <w:gridCol w:w="4136"/>
      </w:tblGrid>
      <w:tr>
        <w:trPr>
          <w:trHeight w:val="500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>
            <w:pPr>
              <w:spacing w:after="0"/>
              <w:ind w:right="111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rPr>
          <w:trHeight w:val="500"/>
        </w:trPr>
        <w:tc>
          <w:tcPr>
            <w:tcW w:w="501" w:type="pct"/>
            <w:shd w:val="clear" w:color="auto" w:fill="DBE5F1" w:themeFill="accent1" w:themeFillTint="33"/>
          </w:tcPr>
          <w:p>
            <w:pPr>
              <w:spacing w:after="0"/>
              <w:ind w:right="111"/>
              <w:rPr>
                <w:b/>
              </w:rPr>
            </w:pPr>
            <w:bookmarkStart w:id="1" w:name="_Toc445992072"/>
            <w:r>
              <w:rPr>
                <w:b/>
                <w:bCs/>
              </w:rPr>
              <w:t>Target</w:t>
            </w:r>
          </w:p>
        </w:tc>
        <w:tc>
          <w:tcPr>
            <w:tcW w:w="1379" w:type="pct"/>
            <w:shd w:val="clear" w:color="auto" w:fill="DBE5F1" w:themeFill="accent1" w:themeFillTint="33"/>
          </w:tcPr>
          <w:p>
            <w:pPr>
              <w:spacing w:after="0"/>
              <w:ind w:right="111"/>
              <w:rPr>
                <w:b/>
              </w:rPr>
            </w:pPr>
            <w:r>
              <w:rPr>
                <w:b/>
                <w:bCs/>
              </w:rPr>
              <w:t xml:space="preserve">Actions 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>
            <w:pPr>
              <w:spacing w:after="0"/>
              <w:ind w:right="111"/>
              <w:rPr>
                <w:b/>
              </w:rPr>
            </w:pPr>
            <w:r>
              <w:rPr>
                <w:b/>
                <w:bCs/>
              </w:rPr>
              <w:t>Who / When</w:t>
            </w:r>
          </w:p>
        </w:tc>
        <w:tc>
          <w:tcPr>
            <w:tcW w:w="1239" w:type="pct"/>
            <w:shd w:val="clear" w:color="auto" w:fill="DBE5F1" w:themeFill="accent1" w:themeFillTint="33"/>
          </w:tcPr>
          <w:p>
            <w:pPr>
              <w:spacing w:after="0"/>
              <w:ind w:right="111"/>
              <w:rPr>
                <w:b/>
              </w:rPr>
            </w:pPr>
            <w:r>
              <w:rPr>
                <w:b/>
                <w:bCs/>
              </w:rPr>
              <w:t>Evidence of Progress</w:t>
            </w:r>
          </w:p>
        </w:tc>
        <w:tc>
          <w:tcPr>
            <w:tcW w:w="1387" w:type="pct"/>
            <w:shd w:val="clear" w:color="auto" w:fill="DBE5F1" w:themeFill="accent1" w:themeFillTint="33"/>
          </w:tcPr>
          <w:p>
            <w:pPr>
              <w:spacing w:after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Evidence of Impact</w:t>
            </w:r>
          </w:p>
        </w:tc>
      </w:tr>
      <w:tr>
        <w:trPr>
          <w:trHeight w:val="2579"/>
        </w:trPr>
        <w:tc>
          <w:tcPr>
            <w:tcW w:w="501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clarity of vision, ethos and strategic direction.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when and if governors ask themselves – ‘What difference does this make to the effectiveness of the board?’</w:t>
            </w: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Ensure a named governor </w:t>
            </w:r>
            <w:proofErr w:type="gramStart"/>
            <w:r>
              <w:rPr>
                <w:b/>
                <w:sz w:val="20"/>
                <w:szCs w:val="20"/>
              </w:rPr>
              <w:t>is made</w:t>
            </w:r>
            <w:proofErr w:type="gramEnd"/>
            <w:r>
              <w:rPr>
                <w:b/>
                <w:sz w:val="20"/>
                <w:szCs w:val="20"/>
              </w:rPr>
              <w:t xml:space="preserve"> responsible for checking the compliance of the website at least annually.</w:t>
            </w:r>
          </w:p>
          <w:p>
            <w:pPr>
              <w:spacing w:after="0"/>
              <w:ind w:left="360" w:right="111"/>
              <w:rPr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elements of training required around compliance – section 6 of the Governance Handbook.</w:t>
            </w:r>
          </w:p>
          <w:p>
            <w:pPr>
              <w:spacing w:after="0"/>
              <w:ind w:left="360" w:right="111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COG/HT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link meeting (3 times per year)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Governor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(Spring 2020)</w:t>
            </w:r>
          </w:p>
        </w:tc>
        <w:tc>
          <w:tcPr>
            <w:tcW w:w="1239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be an ongoing question at governing body meetings.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be the Chair of Governors as link to the HT who is responsible for the website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be referred to the training governor for consideration</w:t>
            </w:r>
          </w:p>
        </w:tc>
        <w:tc>
          <w:tcPr>
            <w:tcW w:w="1387" w:type="pct"/>
          </w:tcPr>
          <w:p>
            <w:pPr>
              <w:spacing w:after="0" w:line="259" w:lineRule="auto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fully compliant (May 2020).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lang w:val="en-US"/>
              </w:rPr>
            </w:pPr>
          </w:p>
        </w:tc>
      </w:tr>
      <w:tr>
        <w:trPr>
          <w:trHeight w:val="2579"/>
        </w:trPr>
        <w:tc>
          <w:tcPr>
            <w:tcW w:w="501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the head teacher to account for the educational performance of the school and its pupils, and the performance management of staff.</w:t>
            </w:r>
          </w:p>
        </w:tc>
        <w:tc>
          <w:tcPr>
            <w:tcW w:w="1379" w:type="pct"/>
          </w:tcPr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whether all governors adhere to the board’s expectations regarding school visits and training undertaken.</w:t>
            </w: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Consider putting a date in diaries for a mid-year review of the </w:t>
            </w:r>
            <w:proofErr w:type="spellStart"/>
            <w:r>
              <w:rPr>
                <w:b/>
                <w:sz w:val="20"/>
                <w:szCs w:val="20"/>
              </w:rPr>
              <w:t>headteacher’s</w:t>
            </w:r>
            <w:proofErr w:type="spellEnd"/>
            <w:r>
              <w:rPr>
                <w:b/>
                <w:sz w:val="20"/>
                <w:szCs w:val="20"/>
              </w:rPr>
              <w:t xml:space="preserve"> progress towards his performance targets.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HT/Link governors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Spring 2020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HT/COG</w:t>
            </w:r>
          </w:p>
        </w:tc>
        <w:tc>
          <w:tcPr>
            <w:tcW w:w="1239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arrangements for SLT link visits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 xml:space="preserve"> to present a report on progress against performance targets at each full governors meeting</w:t>
            </w:r>
          </w:p>
        </w:tc>
        <w:tc>
          <w:tcPr>
            <w:tcW w:w="1387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Underway</w:t>
            </w:r>
          </w:p>
        </w:tc>
      </w:tr>
      <w:tr>
        <w:trPr>
          <w:trHeight w:val="2259"/>
        </w:trPr>
        <w:tc>
          <w:tcPr>
            <w:tcW w:w="501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Oversee the financial performance of the school and making sure its money </w:t>
            </w:r>
            <w:proofErr w:type="gramStart"/>
            <w:r>
              <w:rPr>
                <w:sz w:val="20"/>
                <w:szCs w:val="20"/>
              </w:rPr>
              <w:t>is well spent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Ensure governors continue to </w:t>
            </w:r>
            <w:proofErr w:type="gramStart"/>
            <w:r>
              <w:rPr>
                <w:b/>
                <w:sz w:val="20"/>
                <w:szCs w:val="20"/>
              </w:rPr>
              <w:t>be made</w:t>
            </w:r>
            <w:proofErr w:type="gramEnd"/>
            <w:r>
              <w:rPr>
                <w:b/>
                <w:sz w:val="20"/>
                <w:szCs w:val="20"/>
              </w:rPr>
              <w:t xml:space="preserve"> aware of staff who leave the school; ensure the findings of exit interviews are analysed.</w:t>
            </w: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 to focus on progress gaps between pupil groups.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239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Modify the HR processes so that exit interviews </w:t>
            </w:r>
            <w:proofErr w:type="gramStart"/>
            <w:r>
              <w:rPr>
                <w:sz w:val="20"/>
                <w:szCs w:val="20"/>
              </w:rPr>
              <w:t>are carried out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analysis to Resources Committee on a termly basis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PP spending, in particular, continues to </w:t>
            </w:r>
            <w:proofErr w:type="gramStart"/>
            <w:r>
              <w:rPr>
                <w:sz w:val="20"/>
                <w:szCs w:val="20"/>
              </w:rPr>
              <w:t>be spent</w:t>
            </w:r>
            <w:proofErr w:type="gramEnd"/>
            <w:r>
              <w:rPr>
                <w:sz w:val="20"/>
                <w:szCs w:val="20"/>
              </w:rPr>
              <w:t xml:space="preserve"> on effectively reducing progress gaps.</w:t>
            </w:r>
          </w:p>
        </w:tc>
        <w:tc>
          <w:tcPr>
            <w:tcW w:w="1387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process now…</w:t>
            </w:r>
          </w:p>
        </w:tc>
      </w:tr>
      <w:tr>
        <w:trPr>
          <w:trHeight w:val="2579"/>
        </w:trPr>
        <w:tc>
          <w:tcPr>
            <w:tcW w:w="501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governance practice is effective. 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ways of recruiting parent governors via parent leaflets and school events.</w:t>
            </w:r>
          </w:p>
          <w:p>
            <w:pPr>
              <w:spacing w:after="0"/>
              <w:ind w:left="360" w:right="111"/>
              <w:rPr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 a review of the impact of any training undertaken in governor feedback.</w:t>
            </w: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how best to ensure effective succession, for example, through shadowing or chairing.</w:t>
            </w:r>
          </w:p>
          <w:p>
            <w:pPr>
              <w:numPr>
                <w:ilvl w:val="0"/>
                <w:numId w:val="40"/>
              </w:numPr>
              <w:spacing w:after="0"/>
              <w:ind w:righ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the role of the stakeholder voice nominated governor(s) to include analysis of findings and subsequent actions.</w:t>
            </w:r>
          </w:p>
          <w:p>
            <w:pPr>
              <w:spacing w:after="0"/>
              <w:ind w:left="360" w:right="111"/>
              <w:rPr>
                <w:b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0"/>
              </w:numPr>
              <w:spacing w:after="0"/>
              <w:ind w:right="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Encourage the </w:t>
            </w:r>
            <w:proofErr w:type="spellStart"/>
            <w:r>
              <w:rPr>
                <w:b/>
                <w:sz w:val="20"/>
                <w:szCs w:val="20"/>
              </w:rPr>
              <w:t>headteacher</w:t>
            </w:r>
            <w:proofErr w:type="spellEnd"/>
            <w:r>
              <w:rPr>
                <w:b/>
                <w:sz w:val="20"/>
                <w:szCs w:val="20"/>
              </w:rPr>
              <w:t xml:space="preserve"> to feedback on contributions to/ support from local collaborations, including their impact on the school’s effectiveness.</w:t>
            </w:r>
          </w:p>
          <w:p>
            <w:pPr>
              <w:pStyle w:val="ListParagraph"/>
              <w:numPr>
                <w:ilvl w:val="0"/>
                <w:numId w:val="0"/>
              </w:numPr>
              <w:spacing w:after="0"/>
              <w:ind w:left="360" w:right="111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Governor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HT/COG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239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 governor vacancies at appropriate events and via the website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that this is done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succession plan for </w:t>
            </w:r>
            <w:proofErr w:type="spellStart"/>
            <w:r>
              <w:rPr>
                <w:sz w:val="20"/>
                <w:szCs w:val="20"/>
              </w:rPr>
              <w:t>CoG</w:t>
            </w:r>
            <w:proofErr w:type="spellEnd"/>
            <w:r>
              <w:rPr>
                <w:sz w:val="20"/>
                <w:szCs w:val="20"/>
              </w:rPr>
              <w:t xml:space="preserve"> for 2020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Governor to AHT (Assessment) who gathers student voice data to develop and report analysis.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on SR Heads and PTSA network meetings in reports to governors.</w:t>
            </w:r>
          </w:p>
        </w:tc>
        <w:tc>
          <w:tcPr>
            <w:tcW w:w="1387" w:type="pct"/>
          </w:tcPr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parent governors have been recruited – Nov 2019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Underway – </w:t>
            </w:r>
            <w:proofErr w:type="spellStart"/>
            <w:r>
              <w:rPr>
                <w:sz w:val="20"/>
                <w:szCs w:val="20"/>
              </w:rPr>
              <w:t>CoG</w:t>
            </w:r>
            <w:proofErr w:type="spellEnd"/>
            <w:r>
              <w:rPr>
                <w:sz w:val="20"/>
                <w:szCs w:val="20"/>
              </w:rPr>
              <w:t xml:space="preserve"> to remain in post until Christmas 2020 owing to C-19 situation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Underway </w:t>
            </w: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  <w:p>
            <w:pPr>
              <w:spacing w:after="0"/>
              <w:ind w:right="111"/>
              <w:rPr>
                <w:sz w:val="20"/>
                <w:szCs w:val="20"/>
              </w:rPr>
            </w:pPr>
          </w:p>
        </w:tc>
      </w:tr>
      <w:bookmarkEnd w:id="1"/>
    </w:tbl>
    <w:p/>
    <w:sectPr>
      <w:footerReference w:type="default" r:id="rId16"/>
      <w:footerReference w:type="first" r:id="rId17"/>
      <w:pgSz w:w="16838" w:h="11906" w:orient="landscape"/>
      <w:pgMar w:top="1134" w:right="1134" w:bottom="1276" w:left="1134" w:header="709" w:footer="709" w:gutter="0"/>
      <w:pgNumType w:start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92385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ind w:firstLine="45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784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t>07107 Walton-le-Dale High School – June 2019</w:t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53E56"/>
    <w:multiLevelType w:val="hybridMultilevel"/>
    <w:tmpl w:val="A09C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84EB9"/>
    <w:multiLevelType w:val="multilevel"/>
    <w:tmpl w:val="B02AAE0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347885"/>
    <w:multiLevelType w:val="hybridMultilevel"/>
    <w:tmpl w:val="70107110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E37F7"/>
    <w:multiLevelType w:val="hybridMultilevel"/>
    <w:tmpl w:val="6DC8F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193C0B"/>
    <w:multiLevelType w:val="hybridMultilevel"/>
    <w:tmpl w:val="787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44063"/>
    <w:multiLevelType w:val="hybridMultilevel"/>
    <w:tmpl w:val="CDBAD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FD62E05"/>
    <w:multiLevelType w:val="hybridMultilevel"/>
    <w:tmpl w:val="763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51E11"/>
    <w:multiLevelType w:val="hybridMultilevel"/>
    <w:tmpl w:val="42B0B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4927DE"/>
    <w:multiLevelType w:val="multilevel"/>
    <w:tmpl w:val="EEDC13A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263"/>
    <w:multiLevelType w:val="hybridMultilevel"/>
    <w:tmpl w:val="0C76755E"/>
    <w:lvl w:ilvl="0" w:tplc="0132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AA90CA8"/>
    <w:multiLevelType w:val="hybridMultilevel"/>
    <w:tmpl w:val="92AA1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2558"/>
    <w:multiLevelType w:val="hybridMultilevel"/>
    <w:tmpl w:val="C19630A6"/>
    <w:lvl w:ilvl="0" w:tplc="35B0007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D6A60"/>
    <w:multiLevelType w:val="hybridMultilevel"/>
    <w:tmpl w:val="63A6319E"/>
    <w:lvl w:ilvl="0" w:tplc="9D42683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D48A6"/>
    <w:multiLevelType w:val="hybridMultilevel"/>
    <w:tmpl w:val="82603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0116E"/>
    <w:multiLevelType w:val="hybridMultilevel"/>
    <w:tmpl w:val="9F96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E2452"/>
    <w:multiLevelType w:val="hybridMultilevel"/>
    <w:tmpl w:val="1304C6D4"/>
    <w:lvl w:ilvl="0" w:tplc="F08A90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96B765F"/>
    <w:multiLevelType w:val="multilevel"/>
    <w:tmpl w:val="763C7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756C"/>
    <w:multiLevelType w:val="hybridMultilevel"/>
    <w:tmpl w:val="1140053C"/>
    <w:lvl w:ilvl="0" w:tplc="1DB2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0"/>
  </w:num>
  <w:num w:numId="5">
    <w:abstractNumId w:val="21"/>
  </w:num>
  <w:num w:numId="6">
    <w:abstractNumId w:val="10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7"/>
  </w:num>
  <w:num w:numId="12">
    <w:abstractNumId w:val="32"/>
  </w:num>
  <w:num w:numId="13">
    <w:abstractNumId w:val="3"/>
  </w:num>
  <w:num w:numId="14">
    <w:abstractNumId w:val="16"/>
  </w:num>
  <w:num w:numId="15">
    <w:abstractNumId w:val="3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15"/>
  </w:num>
  <w:num w:numId="20">
    <w:abstractNumId w:val="29"/>
  </w:num>
  <w:num w:numId="21">
    <w:abstractNumId w:val="23"/>
  </w:num>
  <w:num w:numId="22">
    <w:abstractNumId w:val="26"/>
  </w:num>
  <w:num w:numId="23">
    <w:abstractNumId w:val="23"/>
  </w:num>
  <w:num w:numId="24">
    <w:abstractNumId w:val="12"/>
  </w:num>
  <w:num w:numId="25">
    <w:abstractNumId w:val="20"/>
  </w:num>
  <w:num w:numId="26">
    <w:abstractNumId w:val="31"/>
  </w:num>
  <w:num w:numId="27">
    <w:abstractNumId w:val="14"/>
  </w:num>
  <w:num w:numId="28">
    <w:abstractNumId w:val="15"/>
  </w:num>
  <w:num w:numId="29">
    <w:abstractNumId w:val="25"/>
  </w:num>
  <w:num w:numId="30">
    <w:abstractNumId w:val="23"/>
  </w:num>
  <w:num w:numId="31">
    <w:abstractNumId w:val="18"/>
  </w:num>
  <w:num w:numId="32">
    <w:abstractNumId w:val="8"/>
  </w:num>
  <w:num w:numId="33">
    <w:abstractNumId w:val="6"/>
  </w:num>
  <w:num w:numId="34">
    <w:abstractNumId w:val="19"/>
  </w:num>
  <w:num w:numId="35">
    <w:abstractNumId w:val="28"/>
  </w:num>
  <w:num w:numId="36">
    <w:abstractNumId w:val="7"/>
  </w:num>
  <w:num w:numId="37">
    <w:abstractNumId w:val="27"/>
  </w:num>
  <w:num w:numId="38">
    <w:abstractNumId w:val="9"/>
  </w:num>
  <w:num w:numId="39">
    <w:abstractNumId w:val="13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hdrShapeDefaults>
    <o:shapedefaults v:ext="edit" spidmax="3686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489A6DC3-0D0D-412E-95AF-7013AD80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6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</w:style>
  <w:style w:type="character" w:customStyle="1" w:styleId="CopyrightBoxChar">
    <w:name w:val="CopyrightBox Char"/>
    <w:link w:val="CopyrightBox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/>
    </w:pPr>
  </w:style>
  <w:style w:type="character" w:customStyle="1" w:styleId="CopyrightSpacingChar">
    <w:name w:val="CopyrightSpacing Char"/>
    <w:link w:val="CopyrightSpacing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25"/>
      </w:numPr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  <w:unhideWhenUsed/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</w:style>
  <w:style w:type="paragraph" w:customStyle="1" w:styleId="Source">
    <w:name w:val="Source"/>
    <w:basedOn w:val="Normal"/>
    <w:link w:val="SourceChar"/>
    <w:qFormat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3"/>
      </w:numPr>
    </w:pPr>
  </w:style>
  <w:style w:type="character" w:customStyle="1" w:styleId="DfESOutNumbered1Char">
    <w:name w:val="DfESOutNumbered1 Char"/>
    <w:link w:val="DfESOutNumbered1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Pr>
      <w:sz w:val="24"/>
      <w:szCs w:val="24"/>
    </w:r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pPr>
      <w:numPr>
        <w:numId w:val="10"/>
      </w:numPr>
      <w:contextualSpacing/>
    </w:pPr>
  </w:style>
  <w:style w:type="paragraph" w:customStyle="1" w:styleId="DfESOutNumbered">
    <w:name w:val="DfESOutNumbered"/>
    <w:basedOn w:val="Normal"/>
    <w:link w:val="DfESOutNumberedChar"/>
    <w:pPr>
      <w:widowControl w:val="0"/>
      <w:numPr>
        <w:numId w:val="2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pPr>
      <w:widowControl w:val="0"/>
      <w:numPr>
        <w:numId w:val="3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Pr>
      <w:b/>
      <w:color w:val="104F75"/>
      <w:sz w:val="36"/>
      <w:szCs w:val="24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color w:val="0D0D0D" w:themeColor="text1" w:themeTint="F2"/>
      <w:sz w:val="24"/>
      <w:szCs w:val="24"/>
    </w:rPr>
  </w:style>
  <w:style w:type="table" w:styleId="TableTheme">
    <w:name w:val="Table Theme"/>
    <w:basedOn w:val="TableNormal"/>
    <w:pPr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pPr>
      <w:numPr>
        <w:numId w:val="33"/>
      </w:numPr>
      <w:spacing w:before="120" w:after="0" w:line="240" w:lineRule="auto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Pr>
      <w:rFonts w:ascii="Tahoma" w:hAnsi="Tahoma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Gov.l-russellhayes@penworthamgirls.lancs.sch.uk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C57365-C4BE-42BC-8173-C7F78CA17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35D08B-7369-4D5D-9760-BAAB71BC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Review of Governance – ACTION PLAN</vt:lpstr>
    </vt:vector>
  </TitlesOfParts>
  <Company>Department for Education</Company>
  <LinksUpToDate>false</LinksUpToDate>
  <CharactersWithSpaces>3031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of Governance – ACTION PLAN</dc:title>
  <dc:subject>(with accompanying action plan)</dc:subject>
  <dc:creator>Lorimer Russell-Hayes - National Leader of Governance</dc:creator>
  <dc:description>Master-ET-v3.5</dc:description>
  <cp:lastModifiedBy>J Harris</cp:lastModifiedBy>
  <cp:revision>2</cp:revision>
  <cp:lastPrinted>2014-09-17T13:26:00Z</cp:lastPrinted>
  <dcterms:created xsi:type="dcterms:W3CDTF">2020-05-19T16:45:00Z</dcterms:created>
  <dcterms:modified xsi:type="dcterms:W3CDTF">2020-05-19T16:45:00Z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