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6E830" w14:textId="77777777" w:rsidR="00C50BC5" w:rsidRPr="00393C1A" w:rsidRDefault="00B07159">
      <w:pPr>
        <w:rPr>
          <w:rFonts w:ascii="Century Gothic" w:hAnsi="Century Gothic" w:cs="Arial"/>
          <w:b/>
          <w:sz w:val="20"/>
          <w:szCs w:val="20"/>
        </w:rPr>
      </w:pPr>
      <w:r w:rsidRPr="00393C1A">
        <w:rPr>
          <w:rFonts w:ascii="Century Gothic" w:hAnsi="Century Gothic" w:cs="Arial"/>
          <w:b/>
          <w:sz w:val="20"/>
          <w:szCs w:val="20"/>
        </w:rPr>
        <w:t xml:space="preserve">Reading </w:t>
      </w:r>
    </w:p>
    <w:p w14:paraId="43962160" w14:textId="77777777" w:rsidR="00B07159" w:rsidRPr="00393C1A" w:rsidRDefault="00B07159">
      <w:pPr>
        <w:rPr>
          <w:rFonts w:ascii="Century Gothic" w:hAnsi="Century Gothic" w:cs="Arial"/>
          <w:sz w:val="20"/>
          <w:szCs w:val="20"/>
        </w:rPr>
      </w:pPr>
      <w:r w:rsidRPr="00393C1A">
        <w:rPr>
          <w:rFonts w:ascii="Century Gothic" w:hAnsi="Century Gothic" w:cs="Arial"/>
          <w:sz w:val="20"/>
          <w:szCs w:val="20"/>
        </w:rPr>
        <w:t>At Warmley Park we are passionate about supporting all our learners on their reading journey. We believe reading is a crucial li</w:t>
      </w:r>
      <w:r w:rsidR="002F0EFF" w:rsidRPr="00393C1A">
        <w:rPr>
          <w:rFonts w:ascii="Century Gothic" w:hAnsi="Century Gothic" w:cs="Arial"/>
          <w:sz w:val="20"/>
          <w:szCs w:val="20"/>
        </w:rPr>
        <w:t xml:space="preserve">fe skill and is embedded </w:t>
      </w:r>
      <w:r w:rsidR="00053CA2" w:rsidRPr="00393C1A">
        <w:rPr>
          <w:rFonts w:ascii="Century Gothic" w:hAnsi="Century Gothic" w:cs="Arial"/>
          <w:sz w:val="20"/>
          <w:szCs w:val="20"/>
        </w:rPr>
        <w:t xml:space="preserve">through language rich environments and </w:t>
      </w:r>
      <w:r w:rsidR="002F0EFF" w:rsidRPr="00393C1A">
        <w:rPr>
          <w:rFonts w:ascii="Century Gothic" w:hAnsi="Century Gothic" w:cs="Arial"/>
          <w:sz w:val="20"/>
          <w:szCs w:val="20"/>
        </w:rPr>
        <w:t>across</w:t>
      </w:r>
      <w:r w:rsidRPr="00393C1A">
        <w:rPr>
          <w:rFonts w:ascii="Century Gothic" w:hAnsi="Century Gothic" w:cs="Arial"/>
          <w:sz w:val="20"/>
          <w:szCs w:val="20"/>
        </w:rPr>
        <w:t xml:space="preserve"> our curriculum. </w:t>
      </w:r>
      <w:r w:rsidR="002F0EFF" w:rsidRPr="00393C1A">
        <w:rPr>
          <w:rFonts w:ascii="Century Gothic" w:hAnsi="Century Gothic" w:cs="Arial"/>
          <w:sz w:val="20"/>
          <w:szCs w:val="20"/>
        </w:rPr>
        <w:t>Learners will engage with reading actively every day either discretely or through a focus session. Warmley Park</w:t>
      </w:r>
      <w:r w:rsidRPr="00393C1A">
        <w:rPr>
          <w:rFonts w:ascii="Century Gothic" w:hAnsi="Century Gothic" w:cs="Arial"/>
          <w:sz w:val="20"/>
          <w:szCs w:val="20"/>
        </w:rPr>
        <w:t xml:space="preserve"> aim</w:t>
      </w:r>
      <w:r w:rsidR="002F0EFF" w:rsidRPr="00393C1A">
        <w:rPr>
          <w:rFonts w:ascii="Century Gothic" w:hAnsi="Century Gothic" w:cs="Arial"/>
          <w:sz w:val="20"/>
          <w:szCs w:val="20"/>
        </w:rPr>
        <w:t>s</w:t>
      </w:r>
      <w:r w:rsidRPr="00393C1A">
        <w:rPr>
          <w:rFonts w:ascii="Century Gothic" w:hAnsi="Century Gothic" w:cs="Arial"/>
          <w:sz w:val="20"/>
          <w:szCs w:val="20"/>
        </w:rPr>
        <w:t xml:space="preserve"> to create </w:t>
      </w:r>
      <w:r w:rsidR="00053CA2" w:rsidRPr="00393C1A">
        <w:rPr>
          <w:rFonts w:ascii="Century Gothic" w:hAnsi="Century Gothic" w:cs="Arial"/>
          <w:sz w:val="20"/>
          <w:szCs w:val="20"/>
        </w:rPr>
        <w:t>a positive culture to reading, e</w:t>
      </w:r>
      <w:r w:rsidRPr="00393C1A">
        <w:rPr>
          <w:rFonts w:ascii="Century Gothic" w:hAnsi="Century Gothic" w:cs="Arial"/>
          <w:sz w:val="20"/>
          <w:szCs w:val="20"/>
        </w:rPr>
        <w:t>mbed</w:t>
      </w:r>
      <w:r w:rsidR="002F0EFF" w:rsidRPr="00393C1A">
        <w:rPr>
          <w:rFonts w:ascii="Century Gothic" w:hAnsi="Century Gothic" w:cs="Arial"/>
          <w:sz w:val="20"/>
          <w:szCs w:val="20"/>
        </w:rPr>
        <w:t>ding and nurturing</w:t>
      </w:r>
      <w:r w:rsidRPr="00393C1A">
        <w:rPr>
          <w:rFonts w:ascii="Century Gothic" w:hAnsi="Century Gothic" w:cs="Arial"/>
          <w:sz w:val="20"/>
          <w:szCs w:val="20"/>
        </w:rPr>
        <w:t xml:space="preserve"> a love of reading.</w:t>
      </w:r>
    </w:p>
    <w:p w14:paraId="718B3298" w14:textId="77777777" w:rsidR="002F0EFF" w:rsidRPr="00393C1A" w:rsidRDefault="002F0EFF">
      <w:pPr>
        <w:rPr>
          <w:rFonts w:ascii="Century Gothic" w:hAnsi="Century Gothic" w:cs="Arial"/>
          <w:sz w:val="20"/>
          <w:szCs w:val="20"/>
        </w:rPr>
      </w:pPr>
      <w:r w:rsidRPr="00393C1A">
        <w:rPr>
          <w:rFonts w:ascii="Century Gothic" w:hAnsi="Century Gothic" w:cs="Arial"/>
          <w:sz w:val="20"/>
          <w:szCs w:val="20"/>
        </w:rPr>
        <w:t>Every class will have either a dedicated reading space or book box for learners to access and explore.</w:t>
      </w:r>
      <w:r w:rsidR="00053CA2" w:rsidRPr="00393C1A">
        <w:rPr>
          <w:rFonts w:ascii="Century Gothic" w:hAnsi="Century Gothic" w:cs="Arial"/>
          <w:sz w:val="20"/>
          <w:szCs w:val="20"/>
        </w:rPr>
        <w:t xml:space="preserve"> Staff support learners’ development with reading through a variety of different ways e.g. individual reading, modelling reading, sharing and engaging with books/sensory stories, encouraging retelling, questioning, encouraging peer reading. All learners have a reading record to take their reading journey at home and in school.</w:t>
      </w:r>
      <w:r w:rsidR="00485CF8" w:rsidRPr="00393C1A">
        <w:rPr>
          <w:rFonts w:ascii="Century Gothic" w:hAnsi="Century Gothic" w:cs="Arial"/>
          <w:sz w:val="20"/>
          <w:szCs w:val="20"/>
        </w:rPr>
        <w:t xml:space="preserve"> At Warmley Park learners have opportunities to visit the local library and the school library.</w:t>
      </w:r>
    </w:p>
    <w:p w14:paraId="0420DF71" w14:textId="77777777" w:rsidR="00393C1A" w:rsidRPr="00393C1A" w:rsidRDefault="00B07159">
      <w:pPr>
        <w:rPr>
          <w:rFonts w:ascii="Century Gothic" w:hAnsi="Century Gothic" w:cs="Arial"/>
          <w:sz w:val="20"/>
          <w:szCs w:val="20"/>
        </w:rPr>
      </w:pPr>
      <w:r w:rsidRPr="00393C1A">
        <w:rPr>
          <w:rFonts w:ascii="Century Gothic" w:hAnsi="Century Gothic" w:cs="Arial"/>
          <w:sz w:val="20"/>
          <w:szCs w:val="20"/>
        </w:rPr>
        <w:t xml:space="preserve">Reading journeys will look different for each learner, </w:t>
      </w:r>
      <w:r w:rsidR="00071007" w:rsidRPr="00393C1A">
        <w:rPr>
          <w:rFonts w:ascii="Century Gothic" w:hAnsi="Century Gothic" w:cs="Arial"/>
          <w:sz w:val="20"/>
          <w:szCs w:val="20"/>
        </w:rPr>
        <w:t>we provide a variety of approaches to reading as we recognise our learners do not learn in the same way. W</w:t>
      </w:r>
      <w:r w:rsidRPr="00393C1A">
        <w:rPr>
          <w:rFonts w:ascii="Century Gothic" w:hAnsi="Century Gothic" w:cs="Arial"/>
          <w:sz w:val="20"/>
          <w:szCs w:val="20"/>
        </w:rPr>
        <w:t>e aim to provide opportunities to develop their reading skills appropriate to their</w:t>
      </w:r>
      <w:r w:rsidR="00071007" w:rsidRPr="00393C1A">
        <w:rPr>
          <w:rFonts w:ascii="Century Gothic" w:hAnsi="Century Gothic" w:cs="Arial"/>
          <w:sz w:val="20"/>
          <w:szCs w:val="20"/>
        </w:rPr>
        <w:t xml:space="preserve"> need but always pushing forward to the next step</w:t>
      </w:r>
      <w:r w:rsidRPr="00393C1A">
        <w:rPr>
          <w:rFonts w:ascii="Century Gothic" w:hAnsi="Century Gothic" w:cs="Arial"/>
          <w:sz w:val="20"/>
          <w:szCs w:val="20"/>
        </w:rPr>
        <w:t>. Ultimately, preparing learners for life after Warmley Park</w:t>
      </w:r>
      <w:r w:rsidR="00071007" w:rsidRPr="00393C1A">
        <w:rPr>
          <w:rFonts w:ascii="Century Gothic" w:hAnsi="Century Gothic" w:cs="Arial"/>
          <w:sz w:val="20"/>
          <w:szCs w:val="20"/>
        </w:rPr>
        <w:t>;</w:t>
      </w:r>
      <w:r w:rsidR="002F0EFF" w:rsidRPr="00393C1A">
        <w:rPr>
          <w:rFonts w:ascii="Century Gothic" w:hAnsi="Century Gothic" w:cs="Arial"/>
          <w:sz w:val="20"/>
          <w:szCs w:val="20"/>
        </w:rPr>
        <w:t xml:space="preserve"> to use their reading skills and knowledge to progress as independently as possible in the wider community.</w:t>
      </w:r>
    </w:p>
    <w:p w14:paraId="7C28AD04" w14:textId="77777777" w:rsidR="00F0022E" w:rsidRPr="00393C1A" w:rsidRDefault="00F0022E">
      <w:pPr>
        <w:rPr>
          <w:rFonts w:ascii="Century Gothic" w:hAnsi="Century Gothic" w:cs="Arial"/>
          <w:b/>
          <w:sz w:val="20"/>
          <w:szCs w:val="20"/>
        </w:rPr>
      </w:pPr>
      <w:r w:rsidRPr="00393C1A">
        <w:rPr>
          <w:rFonts w:ascii="Century Gothic" w:hAnsi="Century Gothic" w:cs="Arial"/>
          <w:b/>
          <w:sz w:val="20"/>
          <w:szCs w:val="20"/>
        </w:rPr>
        <w:t>Phonics</w:t>
      </w:r>
      <w:r w:rsidR="00B62094" w:rsidRPr="00393C1A">
        <w:rPr>
          <w:rFonts w:ascii="Century Gothic" w:hAnsi="Century Gothic" w:cs="Arial"/>
          <w:b/>
          <w:sz w:val="20"/>
          <w:szCs w:val="20"/>
        </w:rPr>
        <w:t xml:space="preserve">        </w:t>
      </w:r>
      <w:r w:rsidR="00696399" w:rsidRPr="00393C1A">
        <w:rPr>
          <w:rFonts w:ascii="Century Gothic" w:hAnsi="Century Gothic" w:cs="Arial"/>
          <w:b/>
          <w:sz w:val="20"/>
          <w:szCs w:val="20"/>
        </w:rPr>
        <w:t xml:space="preserve">     </w:t>
      </w:r>
      <w:r w:rsidR="008E7B7E" w:rsidRPr="00393C1A">
        <w:rPr>
          <w:rFonts w:ascii="Century Gothic" w:hAnsi="Century Gothic"/>
          <w:b/>
          <w:noProof/>
          <w:sz w:val="20"/>
          <w:szCs w:val="20"/>
          <w:lang w:eastAsia="en-GB"/>
        </w:rPr>
        <w:t xml:space="preserve">       </w:t>
      </w:r>
    </w:p>
    <w:p w14:paraId="3F8270C8" w14:textId="77777777" w:rsidR="00CB793A" w:rsidRPr="00393C1A" w:rsidRDefault="00F0022E" w:rsidP="00CB793A">
      <w:pPr>
        <w:pStyle w:val="NormalWeb"/>
        <w:rPr>
          <w:rFonts w:ascii="Century Gothic" w:eastAsia="Times New Roman" w:hAnsi="Century Gothic" w:cs="Arial"/>
          <w:sz w:val="20"/>
          <w:szCs w:val="20"/>
          <w:lang w:eastAsia="en-GB"/>
        </w:rPr>
      </w:pPr>
      <w:r w:rsidRPr="00393C1A">
        <w:rPr>
          <w:rFonts w:ascii="Century Gothic" w:hAnsi="Century Gothic" w:cs="Arial"/>
          <w:sz w:val="20"/>
          <w:szCs w:val="20"/>
        </w:rPr>
        <w:t>We follow</w:t>
      </w:r>
      <w:r w:rsidRPr="00393C1A">
        <w:rPr>
          <w:rStyle w:val="Strong"/>
          <w:rFonts w:ascii="Century Gothic" w:hAnsi="Century Gothic" w:cs="Arial"/>
          <w:sz w:val="20"/>
          <w:szCs w:val="20"/>
          <w:shd w:val="clear" w:color="auto" w:fill="FFFFFF"/>
        </w:rPr>
        <w:t xml:space="preserve"> ‘Twinkl phonics’ </w:t>
      </w:r>
      <w:r w:rsidRPr="00393C1A">
        <w:rPr>
          <w:rFonts w:ascii="Century Gothic" w:hAnsi="Century Gothic" w:cs="Arial"/>
          <w:sz w:val="20"/>
          <w:szCs w:val="20"/>
          <w:shd w:val="clear" w:color="auto" w:fill="FFFFFF"/>
        </w:rPr>
        <w:t>(accredited) programme at Warmley Park with adaptions to suit the needs of our learners.</w:t>
      </w:r>
      <w:r w:rsidRPr="00393C1A">
        <w:rPr>
          <w:rFonts w:ascii="Century Gothic" w:hAnsi="Century Gothic" w:cs="Arial"/>
          <w:sz w:val="20"/>
          <w:szCs w:val="20"/>
        </w:rPr>
        <w:t xml:space="preserve"> </w:t>
      </w:r>
      <w:r w:rsidR="00CB793A" w:rsidRPr="00393C1A">
        <w:rPr>
          <w:rFonts w:ascii="Century Gothic" w:eastAsia="Times New Roman" w:hAnsi="Century Gothic" w:cs="Arial"/>
          <w:sz w:val="20"/>
          <w:szCs w:val="20"/>
          <w:lang w:eastAsia="en-GB"/>
        </w:rPr>
        <w:t xml:space="preserve">As the programme incorporates auditory, visual and kinaesthetic approaches that </w:t>
      </w:r>
      <w:r w:rsidR="00FA102E" w:rsidRPr="00393C1A">
        <w:rPr>
          <w:rFonts w:ascii="Century Gothic" w:eastAsia="Times New Roman" w:hAnsi="Century Gothic" w:cs="Arial"/>
          <w:sz w:val="20"/>
          <w:szCs w:val="20"/>
          <w:lang w:eastAsia="en-GB"/>
        </w:rPr>
        <w:t xml:space="preserve">ensures </w:t>
      </w:r>
      <w:r w:rsidR="00CB793A" w:rsidRPr="00393C1A">
        <w:rPr>
          <w:rFonts w:ascii="Century Gothic" w:eastAsia="Times New Roman" w:hAnsi="Century Gothic" w:cs="Arial"/>
          <w:sz w:val="20"/>
          <w:szCs w:val="20"/>
          <w:lang w:eastAsia="en-GB"/>
        </w:rPr>
        <w:t xml:space="preserve">we meet </w:t>
      </w:r>
      <w:r w:rsidR="00FA102E" w:rsidRPr="00393C1A">
        <w:rPr>
          <w:rFonts w:ascii="Century Gothic" w:eastAsia="Times New Roman" w:hAnsi="Century Gothic" w:cs="Arial"/>
          <w:sz w:val="20"/>
          <w:szCs w:val="20"/>
          <w:lang w:eastAsia="en-GB"/>
        </w:rPr>
        <w:t xml:space="preserve">our </w:t>
      </w:r>
      <w:r w:rsidR="00CB793A" w:rsidRPr="00393C1A">
        <w:rPr>
          <w:rFonts w:ascii="Century Gothic" w:eastAsia="Times New Roman" w:hAnsi="Century Gothic" w:cs="Arial"/>
          <w:sz w:val="20"/>
          <w:szCs w:val="20"/>
          <w:lang w:eastAsia="en-GB"/>
        </w:rPr>
        <w:t>learners preferred learning styl</w:t>
      </w:r>
      <w:r w:rsidR="00FA102E" w:rsidRPr="00393C1A">
        <w:rPr>
          <w:rFonts w:ascii="Century Gothic" w:eastAsia="Times New Roman" w:hAnsi="Century Gothic" w:cs="Arial"/>
          <w:sz w:val="20"/>
          <w:szCs w:val="20"/>
          <w:lang w:eastAsia="en-GB"/>
        </w:rPr>
        <w:t>e.</w:t>
      </w:r>
    </w:p>
    <w:p w14:paraId="0A2D8C17" w14:textId="77777777" w:rsidR="008E7B7E" w:rsidRPr="00393C1A" w:rsidRDefault="008E7B7E" w:rsidP="008E7B7E">
      <w:pPr>
        <w:rPr>
          <w:rFonts w:ascii="Century Gothic" w:hAnsi="Century Gothic" w:cs="Arial"/>
          <w:sz w:val="20"/>
          <w:szCs w:val="20"/>
          <w:shd w:val="clear" w:color="auto" w:fill="FFFFFF"/>
        </w:rPr>
      </w:pPr>
      <w:r w:rsidRPr="00393C1A">
        <w:rPr>
          <w:rFonts w:ascii="Century Gothic" w:hAnsi="Century Gothic" w:cs="Arial"/>
          <w:sz w:val="20"/>
          <w:szCs w:val="20"/>
          <w:shd w:val="clear" w:color="auto" w:fill="FFFFFF"/>
        </w:rPr>
        <w:t>We recognise the importance of phonics as being a highly effective approach in supporting the development of reading skills, and therefore all learners have access to this across the school.</w:t>
      </w:r>
    </w:p>
    <w:p w14:paraId="10640342" w14:textId="77777777" w:rsidR="008E7B7E" w:rsidRPr="00393C1A" w:rsidRDefault="008E7B7E" w:rsidP="00CB793A">
      <w:pPr>
        <w:pStyle w:val="NormalWeb"/>
        <w:rPr>
          <w:rFonts w:ascii="Century Gothic" w:hAnsi="Century Gothic"/>
          <w:noProof/>
          <w:sz w:val="20"/>
          <w:szCs w:val="20"/>
          <w:lang w:eastAsia="en-GB"/>
        </w:rPr>
      </w:pPr>
      <w:r w:rsidRPr="00393C1A">
        <w:rPr>
          <w:rFonts w:ascii="Century Gothic" w:hAnsi="Century Gothic"/>
          <w:noProof/>
          <w:sz w:val="20"/>
          <w:szCs w:val="20"/>
          <w:lang w:eastAsia="en-GB"/>
        </w:rPr>
        <w:t xml:space="preserve">                             </w:t>
      </w:r>
      <w:r w:rsidRPr="00393C1A">
        <w:rPr>
          <w:rFonts w:ascii="Century Gothic" w:hAnsi="Century Gothic"/>
          <w:noProof/>
          <w:sz w:val="20"/>
          <w:szCs w:val="20"/>
          <w:lang w:eastAsia="en-GB"/>
        </w:rPr>
        <w:drawing>
          <wp:inline distT="0" distB="0" distL="0" distR="0" wp14:anchorId="1D025F61" wp14:editId="7F11DC2F">
            <wp:extent cx="1282535" cy="7678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0142" cy="79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3C1A">
        <w:rPr>
          <w:rFonts w:ascii="Century Gothic" w:hAnsi="Century Gothic"/>
          <w:noProof/>
          <w:sz w:val="20"/>
          <w:szCs w:val="20"/>
          <w:lang w:eastAsia="en-GB"/>
        </w:rPr>
        <w:t xml:space="preserve"> </w:t>
      </w:r>
      <w:r w:rsidRPr="00393C1A">
        <w:rPr>
          <w:rFonts w:ascii="Century Gothic" w:hAnsi="Century Gothic"/>
          <w:noProof/>
          <w:sz w:val="20"/>
          <w:szCs w:val="20"/>
          <w:lang w:eastAsia="en-GB"/>
        </w:rPr>
        <w:drawing>
          <wp:inline distT="0" distB="0" distL="0" distR="0" wp14:anchorId="6B38F002" wp14:editId="025C5D2A">
            <wp:extent cx="1572862" cy="43493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8682" cy="47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DB797" w14:textId="77777777" w:rsidR="00CB793A" w:rsidRPr="00393C1A" w:rsidRDefault="00CB793A" w:rsidP="00CB793A">
      <w:pPr>
        <w:spacing w:after="100" w:afterAutospacing="1" w:line="240" w:lineRule="auto"/>
        <w:rPr>
          <w:rFonts w:ascii="Century Gothic" w:eastAsia="Times New Roman" w:hAnsi="Century Gothic" w:cs="Arial"/>
          <w:sz w:val="20"/>
          <w:szCs w:val="20"/>
          <w:lang w:eastAsia="en-GB"/>
        </w:rPr>
      </w:pPr>
      <w:r w:rsidRPr="00393C1A">
        <w:rPr>
          <w:rFonts w:ascii="Century Gothic" w:eastAsia="Times New Roman" w:hAnsi="Century Gothic" w:cs="Arial"/>
          <w:sz w:val="20"/>
          <w:szCs w:val="20"/>
          <w:lang w:eastAsia="en-GB"/>
        </w:rPr>
        <w:t>All learners will have a book assigned to their phon</w:t>
      </w:r>
      <w:r w:rsidR="00C4609D" w:rsidRPr="00393C1A">
        <w:rPr>
          <w:rFonts w:ascii="Century Gothic" w:eastAsia="Times New Roman" w:hAnsi="Century Gothic" w:cs="Arial"/>
          <w:sz w:val="20"/>
          <w:szCs w:val="20"/>
          <w:lang w:eastAsia="en-GB"/>
        </w:rPr>
        <w:t>ic/reading level and will access reading schemes according to their key stage:</w:t>
      </w:r>
      <w:r w:rsidR="00696399" w:rsidRPr="00393C1A">
        <w:rPr>
          <w:rFonts w:ascii="Century Gothic" w:eastAsia="Times New Roman" w:hAnsi="Century Gothic" w:cs="Arial"/>
          <w:sz w:val="20"/>
          <w:szCs w:val="20"/>
          <w:lang w:eastAsia="en-GB"/>
        </w:rPr>
        <w:t xml:space="preserve">                                     </w:t>
      </w:r>
    </w:p>
    <w:p w14:paraId="3FD91A09" w14:textId="77777777" w:rsidR="00CB793A" w:rsidRPr="00393C1A" w:rsidRDefault="00FA102E" w:rsidP="00CB793A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sz w:val="20"/>
          <w:szCs w:val="20"/>
          <w:lang w:eastAsia="en-GB"/>
        </w:rPr>
      </w:pPr>
      <w:r w:rsidRPr="00393C1A">
        <w:rPr>
          <w:rFonts w:ascii="Century Gothic" w:eastAsia="Times New Roman" w:hAnsi="Century Gothic" w:cs="Arial"/>
          <w:i/>
          <w:iCs/>
          <w:sz w:val="20"/>
          <w:szCs w:val="20"/>
          <w:lang w:eastAsia="en-GB"/>
        </w:rPr>
        <w:t>EYFS/</w:t>
      </w:r>
      <w:r w:rsidR="00CB793A" w:rsidRPr="00393C1A">
        <w:rPr>
          <w:rFonts w:ascii="Century Gothic" w:eastAsia="Times New Roman" w:hAnsi="Century Gothic" w:cs="Arial"/>
          <w:i/>
          <w:iCs/>
          <w:sz w:val="20"/>
          <w:szCs w:val="20"/>
          <w:lang w:eastAsia="en-GB"/>
        </w:rPr>
        <w:t>KS1</w:t>
      </w:r>
      <w:r w:rsidRPr="00393C1A">
        <w:rPr>
          <w:rFonts w:ascii="Century Gothic" w:eastAsia="Times New Roman" w:hAnsi="Century Gothic" w:cs="Arial"/>
          <w:i/>
          <w:iCs/>
          <w:sz w:val="20"/>
          <w:szCs w:val="20"/>
          <w:lang w:eastAsia="en-GB"/>
        </w:rPr>
        <w:t xml:space="preserve">/KS2 learners </w:t>
      </w:r>
      <w:r w:rsidR="00CB793A" w:rsidRPr="00393C1A">
        <w:rPr>
          <w:rFonts w:ascii="Century Gothic" w:eastAsia="Times New Roman" w:hAnsi="Century Gothic" w:cs="Arial"/>
          <w:sz w:val="20"/>
          <w:szCs w:val="20"/>
          <w:lang w:eastAsia="en-GB"/>
        </w:rPr>
        <w:t>have access to</w:t>
      </w:r>
      <w:r w:rsidR="00393C1A" w:rsidRPr="00393C1A">
        <w:rPr>
          <w:rFonts w:ascii="Century Gothic" w:eastAsia="Times New Roman" w:hAnsi="Century Gothic" w:cs="Arial"/>
          <w:i/>
          <w:iCs/>
          <w:sz w:val="20"/>
          <w:szCs w:val="20"/>
          <w:lang w:eastAsia="en-GB"/>
        </w:rPr>
        <w:t> twinkl phonics books</w:t>
      </w:r>
      <w:r w:rsidRPr="00393C1A">
        <w:rPr>
          <w:rFonts w:ascii="Century Gothic" w:eastAsia="Times New Roman" w:hAnsi="Century Gothic" w:cs="Arial"/>
          <w:i/>
          <w:iCs/>
          <w:sz w:val="20"/>
          <w:szCs w:val="20"/>
          <w:lang w:eastAsia="en-GB"/>
        </w:rPr>
        <w:t xml:space="preserve"> and a mixture of other reading schemes to develop early r</w:t>
      </w:r>
      <w:r w:rsidR="00696399" w:rsidRPr="00393C1A">
        <w:rPr>
          <w:rFonts w:ascii="Century Gothic" w:eastAsia="Times New Roman" w:hAnsi="Century Gothic" w:cs="Arial"/>
          <w:i/>
          <w:iCs/>
          <w:sz w:val="20"/>
          <w:szCs w:val="20"/>
          <w:lang w:eastAsia="en-GB"/>
        </w:rPr>
        <w:t xml:space="preserve">eading behaviours/understanding </w:t>
      </w:r>
      <w:proofErr w:type="spellStart"/>
      <w:r w:rsidR="00696399" w:rsidRPr="00393C1A">
        <w:rPr>
          <w:rFonts w:ascii="Century Gothic" w:eastAsia="Times New Roman" w:hAnsi="Century Gothic" w:cs="Arial"/>
          <w:i/>
          <w:iCs/>
          <w:sz w:val="20"/>
          <w:szCs w:val="20"/>
          <w:lang w:eastAsia="en-GB"/>
        </w:rPr>
        <w:t>e.g</w:t>
      </w:r>
      <w:proofErr w:type="spellEnd"/>
      <w:r w:rsidR="00696399" w:rsidRPr="00393C1A">
        <w:rPr>
          <w:rFonts w:ascii="Century Gothic" w:eastAsia="Times New Roman" w:hAnsi="Century Gothic" w:cs="Arial"/>
          <w:i/>
          <w:iCs/>
          <w:sz w:val="20"/>
          <w:szCs w:val="20"/>
          <w:lang w:eastAsia="en-GB"/>
        </w:rPr>
        <w:t xml:space="preserve"> PM, Engage Literacy</w:t>
      </w:r>
    </w:p>
    <w:p w14:paraId="06C8A09E" w14:textId="77777777" w:rsidR="008E7B7E" w:rsidRPr="00393C1A" w:rsidRDefault="008E7B7E" w:rsidP="008E7B7E">
      <w:pPr>
        <w:spacing w:after="0" w:line="240" w:lineRule="auto"/>
        <w:textAlignment w:val="baseline"/>
        <w:rPr>
          <w:rFonts w:ascii="Century Gothic" w:eastAsia="Times New Roman" w:hAnsi="Century Gothic" w:cs="Arial"/>
          <w:sz w:val="20"/>
          <w:szCs w:val="20"/>
          <w:lang w:eastAsia="en-GB"/>
        </w:rPr>
      </w:pPr>
    </w:p>
    <w:p w14:paraId="59C67C9A" w14:textId="77777777" w:rsidR="00CB793A" w:rsidRPr="00393C1A" w:rsidRDefault="00FA102E" w:rsidP="00CB793A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sz w:val="20"/>
          <w:szCs w:val="20"/>
          <w:lang w:eastAsia="en-GB"/>
        </w:rPr>
      </w:pPr>
      <w:r w:rsidRPr="00393C1A">
        <w:rPr>
          <w:rFonts w:ascii="Century Gothic" w:eastAsia="Times New Roman" w:hAnsi="Century Gothic" w:cs="Arial"/>
          <w:i/>
          <w:iCs/>
          <w:sz w:val="20"/>
          <w:szCs w:val="20"/>
          <w:lang w:eastAsia="en-GB"/>
        </w:rPr>
        <w:t xml:space="preserve">KS3 and KS4 learners have access </w:t>
      </w:r>
      <w:r w:rsidR="00696399" w:rsidRPr="00393C1A">
        <w:rPr>
          <w:rFonts w:ascii="Century Gothic" w:eastAsia="Times New Roman" w:hAnsi="Century Gothic" w:cs="Arial"/>
          <w:i/>
          <w:iCs/>
          <w:sz w:val="20"/>
          <w:szCs w:val="20"/>
          <w:lang w:eastAsia="en-GB"/>
        </w:rPr>
        <w:t xml:space="preserve">to </w:t>
      </w:r>
      <w:proofErr w:type="spellStart"/>
      <w:r w:rsidR="00696399" w:rsidRPr="00393C1A">
        <w:rPr>
          <w:rFonts w:ascii="Century Gothic" w:eastAsia="Times New Roman" w:hAnsi="Century Gothic" w:cs="Arial"/>
          <w:i/>
          <w:iCs/>
          <w:sz w:val="20"/>
          <w:szCs w:val="20"/>
          <w:lang w:eastAsia="en-GB"/>
        </w:rPr>
        <w:t>PhonicB</w:t>
      </w:r>
      <w:r w:rsidRPr="00393C1A">
        <w:rPr>
          <w:rFonts w:ascii="Century Gothic" w:eastAsia="Times New Roman" w:hAnsi="Century Gothic" w:cs="Arial"/>
          <w:i/>
          <w:iCs/>
          <w:sz w:val="20"/>
          <w:szCs w:val="20"/>
          <w:lang w:eastAsia="en-GB"/>
        </w:rPr>
        <w:t>ooks</w:t>
      </w:r>
      <w:proofErr w:type="spellEnd"/>
      <w:r w:rsidR="00696399" w:rsidRPr="00393C1A">
        <w:rPr>
          <w:rFonts w:ascii="Century Gothic" w:eastAsia="Times New Roman" w:hAnsi="Century Gothic" w:cs="Arial"/>
          <w:i/>
          <w:iCs/>
          <w:sz w:val="20"/>
          <w:szCs w:val="20"/>
          <w:lang w:eastAsia="en-GB"/>
        </w:rPr>
        <w:t xml:space="preserve">-older readers </w:t>
      </w:r>
      <w:r w:rsidR="00C4609D" w:rsidRPr="00393C1A">
        <w:rPr>
          <w:rFonts w:ascii="Century Gothic" w:eastAsia="Times New Roman" w:hAnsi="Century Gothic" w:cs="Arial"/>
          <w:i/>
          <w:iCs/>
          <w:sz w:val="20"/>
          <w:szCs w:val="20"/>
          <w:lang w:eastAsia="en-GB"/>
        </w:rPr>
        <w:t>and a mixture of other reading scheme</w:t>
      </w:r>
      <w:r w:rsidR="00696399" w:rsidRPr="00393C1A">
        <w:rPr>
          <w:rFonts w:ascii="Century Gothic" w:eastAsia="Times New Roman" w:hAnsi="Century Gothic" w:cs="Arial"/>
          <w:i/>
          <w:iCs/>
          <w:sz w:val="20"/>
          <w:szCs w:val="20"/>
          <w:lang w:eastAsia="en-GB"/>
        </w:rPr>
        <w:t xml:space="preserve">s age appropriate </w:t>
      </w:r>
      <w:proofErr w:type="spellStart"/>
      <w:r w:rsidR="00696399" w:rsidRPr="00393C1A">
        <w:rPr>
          <w:rFonts w:ascii="Century Gothic" w:eastAsia="Times New Roman" w:hAnsi="Century Gothic" w:cs="Arial"/>
          <w:i/>
          <w:iCs/>
          <w:sz w:val="20"/>
          <w:szCs w:val="20"/>
          <w:lang w:eastAsia="en-GB"/>
        </w:rPr>
        <w:t>e.g</w:t>
      </w:r>
      <w:proofErr w:type="spellEnd"/>
      <w:r w:rsidR="00696399" w:rsidRPr="00393C1A">
        <w:rPr>
          <w:rFonts w:ascii="Century Gothic" w:eastAsia="Times New Roman" w:hAnsi="Century Gothic" w:cs="Arial"/>
          <w:i/>
          <w:iCs/>
          <w:sz w:val="20"/>
          <w:szCs w:val="20"/>
          <w:lang w:eastAsia="en-GB"/>
        </w:rPr>
        <w:t xml:space="preserve"> Project X, Fast Forward </w:t>
      </w:r>
    </w:p>
    <w:p w14:paraId="2EA70A6B" w14:textId="77777777" w:rsidR="00CB793A" w:rsidRPr="00393C1A" w:rsidRDefault="00CB793A" w:rsidP="00C4609D">
      <w:pPr>
        <w:spacing w:after="0" w:line="240" w:lineRule="auto"/>
        <w:textAlignment w:val="baseline"/>
        <w:rPr>
          <w:rFonts w:ascii="Century Gothic" w:eastAsia="Times New Roman" w:hAnsi="Century Gothic" w:cs="Arial"/>
          <w:sz w:val="20"/>
          <w:szCs w:val="20"/>
          <w:lang w:eastAsia="en-GB"/>
        </w:rPr>
      </w:pPr>
    </w:p>
    <w:p w14:paraId="594788FB" w14:textId="77777777" w:rsidR="00CB793A" w:rsidRPr="00393C1A" w:rsidRDefault="00C4609D" w:rsidP="00CB793A">
      <w:pPr>
        <w:spacing w:after="100" w:afterAutospacing="1" w:line="240" w:lineRule="auto"/>
        <w:rPr>
          <w:rFonts w:ascii="Century Gothic" w:hAnsi="Century Gothic"/>
          <w:noProof/>
          <w:sz w:val="20"/>
          <w:szCs w:val="20"/>
          <w:lang w:eastAsia="en-GB"/>
        </w:rPr>
      </w:pPr>
      <w:r w:rsidRPr="00393C1A">
        <w:rPr>
          <w:rFonts w:ascii="Century Gothic" w:eastAsia="Times New Roman" w:hAnsi="Century Gothic" w:cs="Arial"/>
          <w:sz w:val="20"/>
          <w:szCs w:val="20"/>
          <w:lang w:eastAsia="en-GB"/>
        </w:rPr>
        <w:t xml:space="preserve">This </w:t>
      </w:r>
      <w:r w:rsidR="00CB793A" w:rsidRPr="00393C1A">
        <w:rPr>
          <w:rFonts w:ascii="Century Gothic" w:eastAsia="Times New Roman" w:hAnsi="Century Gothic" w:cs="Arial"/>
          <w:sz w:val="20"/>
          <w:szCs w:val="20"/>
          <w:lang w:eastAsia="en-GB"/>
        </w:rPr>
        <w:t>ensure</w:t>
      </w:r>
      <w:r w:rsidR="00393C1A" w:rsidRPr="00393C1A">
        <w:rPr>
          <w:rFonts w:ascii="Century Gothic" w:eastAsia="Times New Roman" w:hAnsi="Century Gothic" w:cs="Arial"/>
          <w:sz w:val="20"/>
          <w:szCs w:val="20"/>
          <w:lang w:eastAsia="en-GB"/>
        </w:rPr>
        <w:t>s</w:t>
      </w:r>
      <w:r w:rsidR="00CB793A" w:rsidRPr="00393C1A">
        <w:rPr>
          <w:rFonts w:ascii="Century Gothic" w:eastAsia="Times New Roman" w:hAnsi="Century Gothic" w:cs="Arial"/>
          <w:sz w:val="20"/>
          <w:szCs w:val="20"/>
          <w:lang w:eastAsia="en-GB"/>
        </w:rPr>
        <w:t xml:space="preserve"> that learners have access to new </w:t>
      </w:r>
      <w:r w:rsidRPr="00393C1A">
        <w:rPr>
          <w:rFonts w:ascii="Century Gothic" w:eastAsia="Times New Roman" w:hAnsi="Century Gothic" w:cs="Arial"/>
          <w:sz w:val="20"/>
          <w:szCs w:val="20"/>
          <w:lang w:eastAsia="en-GB"/>
        </w:rPr>
        <w:t>and motivating reading material as</w:t>
      </w:r>
      <w:r w:rsidRPr="00C4609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93C1A">
        <w:rPr>
          <w:rFonts w:ascii="Century Gothic" w:eastAsia="Times New Roman" w:hAnsi="Century Gothic" w:cs="Arial"/>
          <w:sz w:val="20"/>
          <w:szCs w:val="20"/>
          <w:lang w:eastAsia="en-GB"/>
        </w:rPr>
        <w:t>they move across the school.</w:t>
      </w:r>
      <w:r w:rsidR="008E7B7E" w:rsidRPr="00393C1A">
        <w:rPr>
          <w:rFonts w:ascii="Century Gothic" w:hAnsi="Century Gothic"/>
          <w:noProof/>
          <w:sz w:val="20"/>
          <w:szCs w:val="20"/>
          <w:lang w:eastAsia="en-GB"/>
        </w:rPr>
        <w:t xml:space="preserve"> </w:t>
      </w:r>
    </w:p>
    <w:p w14:paraId="285EE46B" w14:textId="77777777" w:rsidR="008E7B7E" w:rsidRPr="00CB793A" w:rsidRDefault="008E7B7E" w:rsidP="00CB793A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</w:t>
      </w:r>
      <w:r>
        <w:rPr>
          <w:noProof/>
          <w:lang w:eastAsia="en-GB"/>
        </w:rPr>
        <w:drawing>
          <wp:inline distT="0" distB="0" distL="0" distR="0" wp14:anchorId="05F3F55E" wp14:editId="7B18B8A3">
            <wp:extent cx="419966" cy="4199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747" cy="42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7E704CD5" wp14:editId="35407EE4">
            <wp:extent cx="622094" cy="454338"/>
            <wp:effectExtent l="0" t="0" r="698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6337" cy="46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 </w:t>
      </w:r>
      <w:r>
        <w:rPr>
          <w:noProof/>
          <w:lang w:eastAsia="en-GB"/>
        </w:rPr>
        <w:drawing>
          <wp:inline distT="0" distB="0" distL="0" distR="0" wp14:anchorId="0650BFE2" wp14:editId="62DDE66A">
            <wp:extent cx="578798" cy="4971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810" cy="51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75DD5BE1" wp14:editId="481AABBE">
            <wp:extent cx="770412" cy="46292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05954" cy="48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0DEB7" w14:textId="77777777" w:rsidR="00A74226" w:rsidRPr="00F0022E" w:rsidRDefault="00A74226">
      <w:pPr>
        <w:rPr>
          <w:rFonts w:ascii="Arial" w:hAnsi="Arial" w:cs="Arial"/>
        </w:rPr>
      </w:pPr>
      <w:bookmarkStart w:id="0" w:name="_GoBack"/>
      <w:bookmarkEnd w:id="0"/>
    </w:p>
    <w:sectPr w:rsidR="00A74226" w:rsidRPr="00F00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D4C5C"/>
    <w:multiLevelType w:val="multilevel"/>
    <w:tmpl w:val="5FB2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5405D5"/>
    <w:multiLevelType w:val="multilevel"/>
    <w:tmpl w:val="EE2C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59"/>
    <w:rsid w:val="00053CA2"/>
    <w:rsid w:val="00071007"/>
    <w:rsid w:val="00175A86"/>
    <w:rsid w:val="00214C62"/>
    <w:rsid w:val="002F0EFF"/>
    <w:rsid w:val="003046AB"/>
    <w:rsid w:val="00393C1A"/>
    <w:rsid w:val="00485CF8"/>
    <w:rsid w:val="005409D5"/>
    <w:rsid w:val="0067622C"/>
    <w:rsid w:val="00696399"/>
    <w:rsid w:val="008E7B7E"/>
    <w:rsid w:val="00A74226"/>
    <w:rsid w:val="00B07159"/>
    <w:rsid w:val="00B62094"/>
    <w:rsid w:val="00C4609D"/>
    <w:rsid w:val="00CB793A"/>
    <w:rsid w:val="00F0022E"/>
    <w:rsid w:val="00FA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3D7F9"/>
  <w15:chartTrackingRefBased/>
  <w15:docId w15:val="{5E127986-FF1D-4DE9-A738-F4730A05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02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793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C9AC50CF89546B4C1D1563150322E" ma:contentTypeVersion="15" ma:contentTypeDescription="Create a new document." ma:contentTypeScope="" ma:versionID="756afaccd867ee48c1e7f6a4b2f30f9f">
  <xsd:schema xmlns:xsd="http://www.w3.org/2001/XMLSchema" xmlns:xs="http://www.w3.org/2001/XMLSchema" xmlns:p="http://schemas.microsoft.com/office/2006/metadata/properties" xmlns:ns3="609058f3-ba62-47ff-8a64-817d00780c70" xmlns:ns4="65ded0d4-feee-4ca8-9f67-290a184e4cc9" targetNamespace="http://schemas.microsoft.com/office/2006/metadata/properties" ma:root="true" ma:fieldsID="1d00edc0c65e4adda230236718368891" ns3:_="" ns4:_="">
    <xsd:import namespace="609058f3-ba62-47ff-8a64-817d00780c70"/>
    <xsd:import namespace="65ded0d4-feee-4ca8-9f67-290a184e4c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Details" minOccurs="0"/>
                <xsd:element ref="ns4:SharingHintHash" minOccurs="0"/>
                <xsd:element ref="ns4:SharedWithUser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058f3-ba62-47ff-8a64-817d00780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ed0d4-feee-4ca8-9f67-290a184e4cc9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9058f3-ba62-47ff-8a64-817d00780c70" xsi:nil="true"/>
  </documentManagement>
</p:properties>
</file>

<file path=customXml/itemProps1.xml><?xml version="1.0" encoding="utf-8"?>
<ds:datastoreItem xmlns:ds="http://schemas.openxmlformats.org/officeDocument/2006/customXml" ds:itemID="{1F8A1643-2396-4887-8216-661240EBE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058f3-ba62-47ff-8a64-817d00780c70"/>
    <ds:schemaRef ds:uri="65ded0d4-feee-4ca8-9f67-290a184e4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79B058-614E-49C0-B595-0FC228715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A1816-4F7A-4A69-976F-82D5BF5E21AD}">
  <ds:schemaRefs>
    <ds:schemaRef ds:uri="http://purl.org/dc/terms/"/>
    <ds:schemaRef ds:uri="http://schemas.microsoft.com/office/2006/documentManagement/types"/>
    <ds:schemaRef ds:uri="http://purl.org/dc/dcmitype/"/>
    <ds:schemaRef ds:uri="609058f3-ba62-47ff-8a64-817d00780c7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5ded0d4-feee-4ca8-9f67-290a184e4cc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Saunders</dc:creator>
  <cp:keywords/>
  <dc:description/>
  <cp:lastModifiedBy>Georgia Snary</cp:lastModifiedBy>
  <cp:revision>3</cp:revision>
  <dcterms:created xsi:type="dcterms:W3CDTF">2024-02-01T11:01:00Z</dcterms:created>
  <dcterms:modified xsi:type="dcterms:W3CDTF">2024-02-06T11:20:00Z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0x010100C4CC9AC50CF89546B4C1D1563150322E</vt:lpwstr>
  </property>
</Properties>
</file>