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64" w:rsidRDefault="00C74064" w:rsidP="00F37756">
      <w:pPr>
        <w:spacing w:after="240"/>
        <w:ind w:left="-5"/>
        <w:jc w:val="center"/>
        <w:outlineLvl w:val="0"/>
        <w:rPr>
          <w:rFonts w:eastAsia="Calibri" w:cs="Arial"/>
          <w:b/>
          <w:color w:val="FF1F64"/>
          <w:sz w:val="36"/>
          <w:szCs w:val="36"/>
        </w:rPr>
      </w:pPr>
      <w:r w:rsidRPr="00FD0331">
        <w:rPr>
          <w:rFonts w:eastAsia="Calibri" w:cs="Arial"/>
          <w:b/>
          <w:color w:val="FF1F64"/>
          <w:sz w:val="36"/>
          <w:szCs w:val="36"/>
        </w:rPr>
        <w:t>Year 7 Catch Up Premium</w:t>
      </w:r>
    </w:p>
    <w:p w:rsidR="00F37756" w:rsidRPr="00FD0331" w:rsidRDefault="00F37756" w:rsidP="00F37756">
      <w:pPr>
        <w:spacing w:after="240"/>
        <w:ind w:left="-5"/>
        <w:jc w:val="center"/>
        <w:outlineLvl w:val="0"/>
        <w:rPr>
          <w:rFonts w:eastAsia="Calibri" w:cs="Arial"/>
          <w:b/>
          <w:color w:val="FF1F64"/>
          <w:sz w:val="36"/>
          <w:szCs w:val="36"/>
        </w:rPr>
      </w:pPr>
    </w:p>
    <w:p w:rsidR="00C74064" w:rsidRPr="00FD0331" w:rsidRDefault="00C74064" w:rsidP="00003AB2">
      <w:pPr>
        <w:spacing w:after="240"/>
        <w:ind w:left="-5"/>
        <w:jc w:val="both"/>
        <w:outlineLvl w:val="0"/>
        <w:rPr>
          <w:rFonts w:eastAsia="Calibri" w:cs="Arial"/>
          <w:color w:val="000000" w:themeColor="text1"/>
          <w:sz w:val="24"/>
        </w:rPr>
      </w:pPr>
      <w:r w:rsidRPr="00FD0331">
        <w:rPr>
          <w:rFonts w:eastAsia="Calibri" w:cs="Arial"/>
          <w:color w:val="000000" w:themeColor="text1"/>
          <w:sz w:val="24"/>
        </w:rPr>
        <w:t xml:space="preserve">The Government provide additional funding for each Year 7 student who did not achieve a score of at least 100 in the Key Stage 2 national curriculum tests in reading and/or Mathematics. For </w:t>
      </w:r>
      <w:proofErr w:type="spellStart"/>
      <w:r w:rsidRPr="00FD0331">
        <w:rPr>
          <w:rFonts w:eastAsia="Calibri" w:cs="Arial"/>
          <w:color w:val="000000" w:themeColor="text1"/>
          <w:sz w:val="24"/>
        </w:rPr>
        <w:t>Waseley</w:t>
      </w:r>
      <w:proofErr w:type="spellEnd"/>
      <w:r w:rsidRPr="00FD0331">
        <w:rPr>
          <w:rFonts w:eastAsia="Calibri" w:cs="Arial"/>
          <w:color w:val="000000" w:themeColor="text1"/>
          <w:sz w:val="24"/>
        </w:rPr>
        <w:t xml:space="preserve"> Hills High School, this additional funding equated to £6372 in 2018-19 and we will also receive approximately £6372 in the 2019-20 academic year.</w:t>
      </w:r>
    </w:p>
    <w:p w:rsidR="00C74064" w:rsidRPr="00FD0331" w:rsidRDefault="00C74064" w:rsidP="00003AB2">
      <w:pPr>
        <w:spacing w:after="240"/>
        <w:ind w:left="-5"/>
        <w:jc w:val="both"/>
        <w:outlineLvl w:val="0"/>
        <w:rPr>
          <w:rFonts w:eastAsia="Calibri" w:cs="Arial"/>
          <w:color w:val="000000" w:themeColor="text1"/>
          <w:sz w:val="24"/>
        </w:rPr>
      </w:pPr>
      <w:r w:rsidRPr="00FD0331">
        <w:rPr>
          <w:rFonts w:eastAsia="Calibri" w:cs="Arial"/>
          <w:color w:val="000000" w:themeColor="text1"/>
          <w:sz w:val="24"/>
        </w:rPr>
        <w:t xml:space="preserve">The purpose of the funding is to enable schools to deliver additional support, such as individual tuition or intensive support in small groups, for those students that most need it. The funding also allows </w:t>
      </w:r>
      <w:proofErr w:type="spellStart"/>
      <w:r w:rsidRPr="00FD0331">
        <w:rPr>
          <w:rFonts w:eastAsia="Calibri" w:cs="Arial"/>
          <w:color w:val="000000" w:themeColor="text1"/>
          <w:sz w:val="24"/>
        </w:rPr>
        <w:t>Waseley</w:t>
      </w:r>
      <w:proofErr w:type="spellEnd"/>
      <w:r w:rsidRPr="00FD0331">
        <w:rPr>
          <w:rFonts w:eastAsia="Calibri" w:cs="Arial"/>
          <w:color w:val="000000" w:themeColor="text1"/>
          <w:sz w:val="24"/>
        </w:rPr>
        <w:t xml:space="preserve"> Hills High School to purchase accessible and stimulating resources which facilitate a bespoke curriculum to support students both within lessons and outside the classroom.</w:t>
      </w:r>
    </w:p>
    <w:p w:rsidR="008527BF" w:rsidRDefault="008527BF" w:rsidP="005F39EE">
      <w:pPr>
        <w:spacing w:after="240"/>
        <w:ind w:left="-5"/>
        <w:jc w:val="center"/>
        <w:outlineLvl w:val="0"/>
        <w:rPr>
          <w:rFonts w:eastAsia="Calibri" w:cs="Arial"/>
          <w:b/>
          <w:color w:val="FF1F64"/>
          <w:sz w:val="36"/>
          <w:szCs w:val="36"/>
        </w:rPr>
      </w:pPr>
    </w:p>
    <w:p w:rsidR="008527BF" w:rsidRDefault="008527BF" w:rsidP="005F39EE">
      <w:pPr>
        <w:spacing w:after="240"/>
        <w:ind w:left="-5"/>
        <w:jc w:val="center"/>
        <w:outlineLvl w:val="0"/>
        <w:rPr>
          <w:rFonts w:eastAsia="Calibri" w:cs="Arial"/>
          <w:b/>
          <w:color w:val="FF1F64"/>
          <w:sz w:val="36"/>
          <w:szCs w:val="36"/>
        </w:rPr>
      </w:pPr>
    </w:p>
    <w:p w:rsidR="008527BF" w:rsidRDefault="008527BF" w:rsidP="005F39EE">
      <w:pPr>
        <w:spacing w:after="240"/>
        <w:ind w:left="-5"/>
        <w:jc w:val="center"/>
        <w:outlineLvl w:val="0"/>
        <w:rPr>
          <w:rFonts w:eastAsia="Calibri" w:cs="Arial"/>
          <w:b/>
          <w:color w:val="FF1F64"/>
          <w:sz w:val="36"/>
          <w:szCs w:val="36"/>
        </w:rPr>
      </w:pPr>
    </w:p>
    <w:p w:rsidR="008527BF" w:rsidRDefault="008527BF" w:rsidP="005F39EE">
      <w:pPr>
        <w:spacing w:after="240"/>
        <w:ind w:left="-5"/>
        <w:jc w:val="center"/>
        <w:outlineLvl w:val="0"/>
        <w:rPr>
          <w:rFonts w:eastAsia="Calibri" w:cs="Arial"/>
          <w:b/>
          <w:color w:val="FF1F64"/>
          <w:sz w:val="36"/>
          <w:szCs w:val="36"/>
        </w:rPr>
      </w:pPr>
    </w:p>
    <w:p w:rsidR="008527BF" w:rsidRDefault="008527BF" w:rsidP="005F39EE">
      <w:pPr>
        <w:spacing w:after="240"/>
        <w:ind w:left="-5"/>
        <w:jc w:val="center"/>
        <w:outlineLvl w:val="0"/>
        <w:rPr>
          <w:rFonts w:eastAsia="Calibri" w:cs="Arial"/>
          <w:b/>
          <w:color w:val="FF1F64"/>
          <w:sz w:val="36"/>
          <w:szCs w:val="36"/>
        </w:rPr>
      </w:pPr>
    </w:p>
    <w:p w:rsidR="00F37756" w:rsidRDefault="00F37756" w:rsidP="00F37756">
      <w:pPr>
        <w:spacing w:after="240"/>
        <w:outlineLvl w:val="0"/>
        <w:rPr>
          <w:rFonts w:eastAsia="Calibri" w:cs="Arial"/>
          <w:b/>
          <w:color w:val="FF1F64"/>
          <w:sz w:val="36"/>
          <w:szCs w:val="36"/>
        </w:rPr>
      </w:pPr>
    </w:p>
    <w:p w:rsidR="00F37756" w:rsidRDefault="00F37756" w:rsidP="00F37756">
      <w:pPr>
        <w:spacing w:after="240"/>
        <w:outlineLvl w:val="0"/>
        <w:rPr>
          <w:rFonts w:eastAsia="Calibri" w:cs="Arial"/>
          <w:b/>
          <w:color w:val="FF1F64"/>
          <w:sz w:val="36"/>
          <w:szCs w:val="36"/>
        </w:rPr>
      </w:pPr>
    </w:p>
    <w:p w:rsidR="00F37756" w:rsidRDefault="00F37756" w:rsidP="00F37756">
      <w:pPr>
        <w:spacing w:after="240"/>
        <w:outlineLvl w:val="0"/>
        <w:rPr>
          <w:rFonts w:eastAsia="Calibri" w:cs="Arial"/>
          <w:b/>
          <w:color w:val="FF1F64"/>
          <w:sz w:val="36"/>
          <w:szCs w:val="36"/>
        </w:rPr>
      </w:pPr>
    </w:p>
    <w:p w:rsidR="00C74064" w:rsidRPr="00525627" w:rsidRDefault="00C74064" w:rsidP="00F37756">
      <w:pPr>
        <w:spacing w:after="240"/>
        <w:jc w:val="center"/>
        <w:outlineLvl w:val="0"/>
        <w:rPr>
          <w:rFonts w:eastAsia="Calibri" w:cs="Arial"/>
          <w:b/>
          <w:color w:val="FF1F64"/>
          <w:sz w:val="36"/>
          <w:szCs w:val="36"/>
        </w:rPr>
      </w:pPr>
      <w:r w:rsidRPr="00525627">
        <w:rPr>
          <w:rFonts w:eastAsia="Calibri" w:cs="Arial"/>
          <w:b/>
          <w:color w:val="FF1F64"/>
          <w:sz w:val="36"/>
          <w:szCs w:val="36"/>
        </w:rPr>
        <w:lastRenderedPageBreak/>
        <w:t>2018 – 2019 Review</w:t>
      </w:r>
    </w:p>
    <w:p w:rsidR="00003AB2" w:rsidRPr="00FD0331" w:rsidRDefault="00C74064" w:rsidP="00003AB2">
      <w:pPr>
        <w:spacing w:after="240"/>
        <w:ind w:left="-5"/>
        <w:outlineLvl w:val="0"/>
        <w:rPr>
          <w:rFonts w:eastAsia="Calibri" w:cs="Arial"/>
          <w:b/>
          <w:color w:val="FF1F64"/>
          <w:sz w:val="36"/>
          <w:szCs w:val="36"/>
        </w:rPr>
      </w:pPr>
      <w:r w:rsidRPr="00FD0331">
        <w:rPr>
          <w:rFonts w:eastAsia="Calibri" w:cs="Arial"/>
          <w:b/>
          <w:color w:val="FF1F64"/>
          <w:sz w:val="36"/>
          <w:szCs w:val="36"/>
        </w:rPr>
        <w:t xml:space="preserve">Literacy </w:t>
      </w:r>
    </w:p>
    <w:tbl>
      <w:tblPr>
        <w:tblW w:w="132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CF0F1"/>
        <w:tblCellMar>
          <w:top w:w="15" w:type="dxa"/>
          <w:left w:w="15" w:type="dxa"/>
          <w:bottom w:w="15" w:type="dxa"/>
          <w:right w:w="15" w:type="dxa"/>
        </w:tblCellMar>
        <w:tblLook w:val="04A0" w:firstRow="1" w:lastRow="0" w:firstColumn="1" w:lastColumn="0" w:noHBand="0" w:noVBand="1"/>
      </w:tblPr>
      <w:tblGrid>
        <w:gridCol w:w="3196"/>
        <w:gridCol w:w="3278"/>
        <w:gridCol w:w="6817"/>
      </w:tblGrid>
      <w:tr w:rsidR="005F39EE" w:rsidRPr="00FD0331" w:rsidTr="00F37756">
        <w:trPr>
          <w:trHeight w:val="580"/>
        </w:trPr>
        <w:tc>
          <w:tcPr>
            <w:tcW w:w="3196" w:type="dxa"/>
            <w:shd w:val="clear" w:color="auto" w:fill="ECF0F1"/>
            <w:tcMar>
              <w:top w:w="0" w:type="dxa"/>
              <w:left w:w="108" w:type="dxa"/>
              <w:bottom w:w="0" w:type="dxa"/>
              <w:right w:w="108" w:type="dxa"/>
            </w:tcMar>
          </w:tcPr>
          <w:p w:rsidR="005F39EE" w:rsidRPr="00FD0331" w:rsidRDefault="005F39EE" w:rsidP="00245EF8">
            <w:pPr>
              <w:spacing w:after="240"/>
              <w:ind w:left="-5"/>
              <w:outlineLvl w:val="0"/>
              <w:rPr>
                <w:rFonts w:eastAsia="Calibri" w:cs="Arial"/>
                <w:b/>
                <w:color w:val="FF1F64"/>
                <w:sz w:val="36"/>
                <w:szCs w:val="36"/>
              </w:rPr>
            </w:pPr>
            <w:r w:rsidRPr="00FD0331">
              <w:rPr>
                <w:rFonts w:eastAsia="Calibri" w:cs="Arial"/>
                <w:b/>
                <w:color w:val="FF1F64"/>
                <w:sz w:val="36"/>
                <w:szCs w:val="36"/>
              </w:rPr>
              <w:t>Method</w:t>
            </w:r>
          </w:p>
        </w:tc>
        <w:tc>
          <w:tcPr>
            <w:tcW w:w="3278" w:type="dxa"/>
            <w:shd w:val="clear" w:color="auto" w:fill="ECF0F1"/>
            <w:tcMar>
              <w:top w:w="0" w:type="dxa"/>
              <w:left w:w="108" w:type="dxa"/>
              <w:bottom w:w="0" w:type="dxa"/>
              <w:right w:w="108" w:type="dxa"/>
            </w:tcMar>
          </w:tcPr>
          <w:p w:rsidR="005F39EE" w:rsidRPr="00FD0331" w:rsidRDefault="005F39EE" w:rsidP="00245EF8">
            <w:pPr>
              <w:spacing w:after="240"/>
              <w:ind w:left="-5"/>
              <w:outlineLvl w:val="0"/>
              <w:rPr>
                <w:rFonts w:eastAsia="Calibri" w:cs="Arial"/>
                <w:b/>
                <w:color w:val="FF1F64"/>
                <w:sz w:val="36"/>
                <w:szCs w:val="36"/>
              </w:rPr>
            </w:pPr>
            <w:r w:rsidRPr="00FD0331">
              <w:rPr>
                <w:rFonts w:eastAsia="Calibri" w:cs="Arial"/>
                <w:b/>
                <w:color w:val="FF1F64"/>
                <w:sz w:val="36"/>
                <w:szCs w:val="36"/>
              </w:rPr>
              <w:t>Aim</w:t>
            </w:r>
          </w:p>
          <w:p w:rsidR="005F39EE" w:rsidRPr="00FD0331" w:rsidRDefault="005F39EE" w:rsidP="00245EF8">
            <w:pPr>
              <w:pStyle w:val="NormalWeb"/>
              <w:spacing w:before="0" w:beforeAutospacing="0" w:after="0" w:afterAutospacing="0"/>
              <w:rPr>
                <w:rFonts w:asciiTheme="minorHAnsi" w:hAnsiTheme="minorHAnsi" w:cs="Arial"/>
                <w:b/>
                <w:color w:val="FF00FF"/>
                <w:sz w:val="22"/>
                <w:szCs w:val="22"/>
              </w:rPr>
            </w:pPr>
          </w:p>
        </w:tc>
        <w:tc>
          <w:tcPr>
            <w:tcW w:w="6817" w:type="dxa"/>
            <w:shd w:val="clear" w:color="auto" w:fill="ECF0F1"/>
          </w:tcPr>
          <w:p w:rsidR="005F39EE" w:rsidRPr="00FD0331" w:rsidRDefault="005F39EE" w:rsidP="00245EF8">
            <w:pPr>
              <w:spacing w:after="240"/>
              <w:ind w:left="-5"/>
              <w:outlineLvl w:val="0"/>
              <w:rPr>
                <w:rFonts w:eastAsia="Calibri" w:cs="Arial"/>
                <w:b/>
                <w:color w:val="FF1F64"/>
                <w:sz w:val="36"/>
                <w:szCs w:val="36"/>
              </w:rPr>
            </w:pPr>
            <w:r w:rsidRPr="00FD0331">
              <w:rPr>
                <w:rFonts w:eastAsia="Calibri" w:cs="Arial"/>
                <w:b/>
                <w:color w:val="FF1F64"/>
                <w:sz w:val="36"/>
                <w:szCs w:val="36"/>
              </w:rPr>
              <w:t xml:space="preserve">Impact </w:t>
            </w:r>
          </w:p>
          <w:p w:rsidR="005F39EE" w:rsidRPr="00FD0331" w:rsidRDefault="005F39EE" w:rsidP="00245EF8">
            <w:pPr>
              <w:pStyle w:val="NormalWeb"/>
              <w:spacing w:before="0" w:beforeAutospacing="0" w:after="0" w:afterAutospacing="0"/>
              <w:rPr>
                <w:rFonts w:asciiTheme="minorHAnsi" w:hAnsiTheme="minorHAnsi" w:cs="Arial"/>
                <w:b/>
                <w:color w:val="FF00FF"/>
                <w:sz w:val="22"/>
                <w:szCs w:val="22"/>
              </w:rPr>
            </w:pPr>
          </w:p>
        </w:tc>
      </w:tr>
      <w:tr w:rsidR="005F39EE" w:rsidRPr="00FD0331" w:rsidTr="00F37756">
        <w:tc>
          <w:tcPr>
            <w:tcW w:w="3196" w:type="dxa"/>
            <w:shd w:val="clear" w:color="auto" w:fill="FFFFFF" w:themeFill="background1"/>
            <w:tcMar>
              <w:top w:w="0" w:type="dxa"/>
              <w:left w:w="108" w:type="dxa"/>
              <w:bottom w:w="0" w:type="dxa"/>
              <w:right w:w="108" w:type="dxa"/>
            </w:tcMar>
            <w:hideMark/>
          </w:tcPr>
          <w:p w:rsidR="005F39EE" w:rsidRPr="00FD0331" w:rsidRDefault="005F39EE" w:rsidP="00245EF8">
            <w:pPr>
              <w:pStyle w:val="NormalWeb"/>
              <w:spacing w:before="0" w:beforeAutospacing="0" w:after="0" w:afterAutospacing="0"/>
              <w:rPr>
                <w:rFonts w:asciiTheme="minorHAnsi" w:hAnsiTheme="minorHAnsi" w:cs="Arial"/>
                <w:color w:val="333333"/>
                <w:sz w:val="21"/>
                <w:szCs w:val="21"/>
              </w:rPr>
            </w:pPr>
            <w:r w:rsidRPr="00FD0331">
              <w:rPr>
                <w:rFonts w:asciiTheme="minorHAnsi" w:hAnsiTheme="minorHAnsi" w:cs="Arial"/>
                <w:color w:val="333333"/>
                <w:sz w:val="22"/>
                <w:szCs w:val="22"/>
              </w:rPr>
              <w:t>Accelerated reader programme</w:t>
            </w:r>
          </w:p>
        </w:tc>
        <w:tc>
          <w:tcPr>
            <w:tcW w:w="3278" w:type="dxa"/>
            <w:shd w:val="clear" w:color="auto" w:fill="FFFFFF" w:themeFill="background1"/>
            <w:tcMar>
              <w:top w:w="0" w:type="dxa"/>
              <w:left w:w="108" w:type="dxa"/>
              <w:bottom w:w="0" w:type="dxa"/>
              <w:right w:w="108" w:type="dxa"/>
            </w:tcMar>
            <w:hideMark/>
          </w:tcPr>
          <w:p w:rsidR="005F39EE" w:rsidRPr="00FD0331" w:rsidRDefault="005F39EE" w:rsidP="00245EF8">
            <w:pPr>
              <w:pStyle w:val="NormalWeb"/>
              <w:spacing w:before="0" w:beforeAutospacing="0" w:after="0" w:afterAutospacing="0"/>
              <w:rPr>
                <w:rFonts w:asciiTheme="minorHAnsi" w:hAnsiTheme="minorHAnsi" w:cs="Arial"/>
                <w:color w:val="333333"/>
                <w:sz w:val="21"/>
                <w:szCs w:val="21"/>
              </w:rPr>
            </w:pPr>
            <w:r w:rsidRPr="00FD0331">
              <w:rPr>
                <w:rFonts w:asciiTheme="minorHAnsi" w:hAnsiTheme="minorHAnsi" w:cs="Arial"/>
                <w:color w:val="333333"/>
                <w:sz w:val="22"/>
                <w:szCs w:val="22"/>
              </w:rPr>
              <w:t xml:space="preserve">To </w:t>
            </w:r>
            <w:proofErr w:type="gramStart"/>
            <w:r w:rsidRPr="00FD0331">
              <w:rPr>
                <w:rFonts w:asciiTheme="minorHAnsi" w:hAnsiTheme="minorHAnsi" w:cs="Arial"/>
                <w:color w:val="333333"/>
                <w:sz w:val="22"/>
                <w:szCs w:val="22"/>
              </w:rPr>
              <w:t>raise</w:t>
            </w:r>
            <w:proofErr w:type="gramEnd"/>
            <w:r w:rsidRPr="00FD0331">
              <w:rPr>
                <w:rFonts w:asciiTheme="minorHAnsi" w:hAnsiTheme="minorHAnsi" w:cs="Arial"/>
                <w:color w:val="333333"/>
                <w:sz w:val="22"/>
                <w:szCs w:val="22"/>
              </w:rPr>
              <w:t xml:space="preserve"> reading age, improve vocabulary and encourage reading in KS3.</w:t>
            </w:r>
          </w:p>
        </w:tc>
        <w:tc>
          <w:tcPr>
            <w:tcW w:w="6817" w:type="dxa"/>
            <w:shd w:val="clear" w:color="auto" w:fill="FFFFFF" w:themeFill="background1"/>
          </w:tcPr>
          <w:p w:rsidR="005F39EE" w:rsidRPr="00FD0331" w:rsidRDefault="005F39EE" w:rsidP="0053098D">
            <w:pPr>
              <w:pStyle w:val="NormalWeb"/>
              <w:spacing w:before="0" w:beforeAutospacing="0" w:after="0" w:afterAutospacing="0"/>
              <w:rPr>
                <w:rFonts w:asciiTheme="minorHAnsi" w:hAnsiTheme="minorHAnsi" w:cs="Arial"/>
                <w:color w:val="333333"/>
                <w:sz w:val="22"/>
                <w:szCs w:val="22"/>
                <w:highlight w:val="yellow"/>
              </w:rPr>
            </w:pPr>
            <w:r w:rsidRPr="0053098D">
              <w:rPr>
                <w:rFonts w:asciiTheme="minorHAnsi" w:hAnsiTheme="minorHAnsi" w:cs="Arial"/>
                <w:color w:val="333333"/>
                <w:sz w:val="22"/>
                <w:szCs w:val="22"/>
              </w:rPr>
              <w:t>The</w:t>
            </w:r>
            <w:r w:rsidR="0053098D" w:rsidRPr="0053098D">
              <w:rPr>
                <w:rFonts w:asciiTheme="minorHAnsi" w:hAnsiTheme="minorHAnsi" w:cs="Arial"/>
                <w:color w:val="333333"/>
                <w:sz w:val="22"/>
                <w:szCs w:val="22"/>
              </w:rPr>
              <w:t xml:space="preserve"> accelerated reade</w:t>
            </w:r>
            <w:r w:rsidR="0053098D">
              <w:rPr>
                <w:rFonts w:asciiTheme="minorHAnsi" w:hAnsiTheme="minorHAnsi" w:cs="Arial"/>
                <w:color w:val="333333"/>
                <w:sz w:val="22"/>
                <w:szCs w:val="22"/>
              </w:rPr>
              <w:t xml:space="preserve">r </w:t>
            </w:r>
            <w:r w:rsidR="008B3E79">
              <w:rPr>
                <w:rFonts w:asciiTheme="minorHAnsi" w:hAnsiTheme="minorHAnsi" w:cs="Arial"/>
                <w:color w:val="333333"/>
                <w:sz w:val="22"/>
                <w:szCs w:val="22"/>
              </w:rPr>
              <w:t xml:space="preserve">programme </w:t>
            </w:r>
            <w:r w:rsidR="008B3E79" w:rsidRPr="0053098D">
              <w:rPr>
                <w:rFonts w:asciiTheme="minorHAnsi" w:hAnsiTheme="minorHAnsi" w:cs="Arial"/>
                <w:color w:val="333333"/>
                <w:sz w:val="22"/>
                <w:szCs w:val="22"/>
              </w:rPr>
              <w:t>has encouraged</w:t>
            </w:r>
            <w:r w:rsidRPr="0053098D">
              <w:rPr>
                <w:rFonts w:asciiTheme="minorHAnsi" w:hAnsiTheme="minorHAnsi" w:cs="Arial"/>
                <w:color w:val="333333"/>
                <w:sz w:val="22"/>
                <w:szCs w:val="22"/>
              </w:rPr>
              <w:t xml:space="preserve"> reading –this is happening evidenced by the number of books being read – with focus on</w:t>
            </w:r>
            <w:r w:rsidR="0053098D" w:rsidRPr="0053098D">
              <w:rPr>
                <w:rFonts w:asciiTheme="minorHAnsi" w:hAnsiTheme="minorHAnsi" w:cs="Arial"/>
                <w:color w:val="333333"/>
                <w:sz w:val="22"/>
                <w:szCs w:val="22"/>
              </w:rPr>
              <w:t xml:space="preserve"> students receiving the funding. These students have shown a marked increase in both the amount of reading, interest in reading and reading age which 78% showing an improvement in their reading age. We used the regular STAR reader test to assess this which has proven effective. 2019-20 we will be using a test on SMHW at the start and end of each term to show which specific areas have been improved upon. </w:t>
            </w:r>
          </w:p>
        </w:tc>
      </w:tr>
      <w:tr w:rsidR="005F39EE" w:rsidRPr="00FD0331" w:rsidTr="00F37756">
        <w:tc>
          <w:tcPr>
            <w:tcW w:w="3196" w:type="dxa"/>
            <w:shd w:val="clear" w:color="auto" w:fill="FFFFFF" w:themeFill="background1"/>
            <w:tcMar>
              <w:top w:w="0" w:type="dxa"/>
              <w:left w:w="108" w:type="dxa"/>
              <w:bottom w:w="0" w:type="dxa"/>
              <w:right w:w="108" w:type="dxa"/>
            </w:tcMar>
          </w:tcPr>
          <w:p w:rsidR="005F39EE" w:rsidRPr="00FD0331" w:rsidRDefault="00AF3DB5" w:rsidP="00245EF8">
            <w:pPr>
              <w:pStyle w:val="NormalWeb"/>
              <w:spacing w:before="0" w:beforeAutospacing="0" w:after="0" w:afterAutospacing="0"/>
              <w:rPr>
                <w:rFonts w:asciiTheme="minorHAnsi" w:hAnsiTheme="minorHAnsi" w:cs="Arial"/>
                <w:color w:val="333333"/>
                <w:sz w:val="22"/>
                <w:szCs w:val="22"/>
              </w:rPr>
            </w:pPr>
            <w:r>
              <w:rPr>
                <w:rFonts w:asciiTheme="minorHAnsi" w:hAnsiTheme="minorHAnsi" w:cs="Arial"/>
                <w:color w:val="333333"/>
                <w:sz w:val="22"/>
                <w:szCs w:val="22"/>
              </w:rPr>
              <w:t xml:space="preserve">Nurture group Year 7 </w:t>
            </w:r>
          </w:p>
        </w:tc>
        <w:tc>
          <w:tcPr>
            <w:tcW w:w="3278" w:type="dxa"/>
            <w:shd w:val="clear" w:color="auto" w:fill="FFFFFF" w:themeFill="background1"/>
            <w:tcMar>
              <w:top w:w="0" w:type="dxa"/>
              <w:left w:w="108" w:type="dxa"/>
              <w:bottom w:w="0" w:type="dxa"/>
              <w:right w:w="108" w:type="dxa"/>
            </w:tcMar>
          </w:tcPr>
          <w:p w:rsidR="005F39EE" w:rsidRPr="00FD0331" w:rsidRDefault="005F39EE" w:rsidP="00245EF8">
            <w:pPr>
              <w:pStyle w:val="NormalWeb"/>
              <w:spacing w:before="0" w:beforeAutospacing="0" w:after="0" w:afterAutospacing="0"/>
              <w:rPr>
                <w:rFonts w:asciiTheme="minorHAnsi" w:hAnsiTheme="minorHAnsi" w:cs="Arial"/>
                <w:color w:val="333333"/>
                <w:sz w:val="22"/>
                <w:szCs w:val="22"/>
              </w:rPr>
            </w:pPr>
            <w:r w:rsidRPr="00FD0331">
              <w:rPr>
                <w:rFonts w:asciiTheme="minorHAnsi" w:hAnsiTheme="minorHAnsi" w:cs="Arial"/>
                <w:color w:val="333333"/>
                <w:sz w:val="22"/>
                <w:szCs w:val="22"/>
              </w:rPr>
              <w:t xml:space="preserve">To support with issues with basic literacy skills </w:t>
            </w:r>
          </w:p>
        </w:tc>
        <w:tc>
          <w:tcPr>
            <w:tcW w:w="6817" w:type="dxa"/>
            <w:shd w:val="clear" w:color="auto" w:fill="FFFFFF" w:themeFill="background1"/>
          </w:tcPr>
          <w:p w:rsidR="005F39EE" w:rsidRDefault="0053098D" w:rsidP="00245EF8">
            <w:pPr>
              <w:pStyle w:val="NormalWeb"/>
              <w:spacing w:before="0" w:beforeAutospacing="0" w:after="0" w:afterAutospacing="0"/>
              <w:rPr>
                <w:rFonts w:asciiTheme="minorHAnsi" w:hAnsiTheme="minorHAnsi" w:cs="Arial"/>
                <w:color w:val="333333"/>
                <w:sz w:val="22"/>
                <w:szCs w:val="22"/>
              </w:rPr>
            </w:pPr>
            <w:r w:rsidRPr="00BE3BC3">
              <w:rPr>
                <w:rFonts w:asciiTheme="minorHAnsi" w:hAnsiTheme="minorHAnsi" w:cs="Arial"/>
                <w:color w:val="333333"/>
                <w:sz w:val="22"/>
                <w:szCs w:val="22"/>
              </w:rPr>
              <w:t>R</w:t>
            </w:r>
            <w:r w:rsidR="005F39EE" w:rsidRPr="00BE3BC3">
              <w:rPr>
                <w:rFonts w:asciiTheme="minorHAnsi" w:hAnsiTheme="minorHAnsi" w:cs="Arial"/>
                <w:color w:val="333333"/>
                <w:sz w:val="22"/>
                <w:szCs w:val="22"/>
              </w:rPr>
              <w:t xml:space="preserve">ecent progress figures for </w:t>
            </w:r>
            <w:r w:rsidRPr="00BE3BC3">
              <w:rPr>
                <w:rFonts w:asciiTheme="minorHAnsi" w:hAnsiTheme="minorHAnsi" w:cs="Arial"/>
                <w:color w:val="333333"/>
                <w:sz w:val="22"/>
                <w:szCs w:val="22"/>
              </w:rPr>
              <w:t>the current Year 8 group</w:t>
            </w:r>
            <w:r w:rsidR="00BE3BC3">
              <w:rPr>
                <w:rFonts w:asciiTheme="minorHAnsi" w:hAnsiTheme="minorHAnsi" w:cs="Arial"/>
                <w:color w:val="333333"/>
                <w:sz w:val="22"/>
                <w:szCs w:val="22"/>
              </w:rPr>
              <w:t xml:space="preserve"> shows</w:t>
            </w:r>
            <w:r w:rsidRPr="00BE3BC3">
              <w:rPr>
                <w:rFonts w:asciiTheme="minorHAnsi" w:hAnsiTheme="minorHAnsi" w:cs="Arial"/>
                <w:color w:val="333333"/>
                <w:sz w:val="22"/>
                <w:szCs w:val="22"/>
              </w:rPr>
              <w:t xml:space="preserve"> </w:t>
            </w:r>
            <w:r w:rsidR="00BE3BC3" w:rsidRPr="00BE3BC3">
              <w:rPr>
                <w:rFonts w:asciiTheme="minorHAnsi" w:hAnsiTheme="minorHAnsi" w:cs="Arial"/>
                <w:color w:val="333333"/>
                <w:sz w:val="22"/>
                <w:szCs w:val="22"/>
              </w:rPr>
              <w:t>that 50% of students have improved their reading age with 30% by more than two years.</w:t>
            </w:r>
            <w:r w:rsidR="00BE3BC3">
              <w:rPr>
                <w:rFonts w:asciiTheme="minorHAnsi" w:hAnsiTheme="minorHAnsi" w:cs="Arial"/>
                <w:color w:val="333333"/>
                <w:sz w:val="22"/>
                <w:szCs w:val="22"/>
              </w:rPr>
              <w:t>50% have also passed the 100 STD score. Those who have not progressed as far as we would have hoped are being given addi</w:t>
            </w:r>
            <w:r w:rsidR="00AF3DB5">
              <w:rPr>
                <w:rFonts w:asciiTheme="minorHAnsi" w:hAnsiTheme="minorHAnsi" w:cs="Arial"/>
                <w:color w:val="333333"/>
                <w:sz w:val="22"/>
                <w:szCs w:val="22"/>
              </w:rPr>
              <w:t xml:space="preserve">tional support this year by way </w:t>
            </w:r>
            <w:r w:rsidR="00BE3BC3">
              <w:rPr>
                <w:rFonts w:asciiTheme="minorHAnsi" w:hAnsiTheme="minorHAnsi" w:cs="Arial"/>
                <w:color w:val="333333"/>
                <w:sz w:val="22"/>
                <w:szCs w:val="22"/>
              </w:rPr>
              <w:t xml:space="preserve">of </w:t>
            </w:r>
            <w:proofErr w:type="spellStart"/>
            <w:r w:rsidR="00BE3BC3">
              <w:rPr>
                <w:rFonts w:asciiTheme="minorHAnsi" w:hAnsiTheme="minorHAnsi" w:cs="Arial"/>
                <w:color w:val="333333"/>
                <w:sz w:val="22"/>
                <w:szCs w:val="22"/>
              </w:rPr>
              <w:t>Lexia</w:t>
            </w:r>
            <w:proofErr w:type="spellEnd"/>
            <w:r w:rsidR="00BE3BC3">
              <w:rPr>
                <w:rFonts w:asciiTheme="minorHAnsi" w:hAnsiTheme="minorHAnsi" w:cs="Arial"/>
                <w:color w:val="333333"/>
                <w:sz w:val="22"/>
                <w:szCs w:val="22"/>
              </w:rPr>
              <w:t xml:space="preserve"> and one to one. </w:t>
            </w:r>
            <w:r w:rsidR="00BE3BC3" w:rsidRPr="00BE3BC3">
              <w:rPr>
                <w:rFonts w:asciiTheme="minorHAnsi" w:hAnsiTheme="minorHAnsi" w:cs="Arial"/>
                <w:color w:val="333333"/>
                <w:sz w:val="22"/>
                <w:szCs w:val="22"/>
              </w:rPr>
              <w:t xml:space="preserve"> </w:t>
            </w:r>
            <w:r w:rsidR="005F39EE" w:rsidRPr="00BE3BC3">
              <w:rPr>
                <w:rFonts w:asciiTheme="minorHAnsi" w:hAnsiTheme="minorHAnsi" w:cs="Arial"/>
                <w:color w:val="333333"/>
                <w:sz w:val="22"/>
                <w:szCs w:val="22"/>
              </w:rPr>
              <w:t xml:space="preserve">Data for the current Year 7 will be available mid Spring 1  </w:t>
            </w:r>
          </w:p>
          <w:p w:rsidR="00E96DAD" w:rsidRPr="00FD0331" w:rsidRDefault="00E96DAD" w:rsidP="00245EF8">
            <w:pPr>
              <w:pStyle w:val="NormalWeb"/>
              <w:spacing w:before="0" w:beforeAutospacing="0" w:after="0" w:afterAutospacing="0"/>
              <w:rPr>
                <w:rFonts w:asciiTheme="minorHAnsi" w:hAnsiTheme="minorHAnsi" w:cs="Arial"/>
                <w:color w:val="333333"/>
                <w:sz w:val="22"/>
                <w:szCs w:val="22"/>
                <w:highlight w:val="yellow"/>
              </w:rPr>
            </w:pPr>
            <w:r>
              <w:rPr>
                <w:rFonts w:asciiTheme="minorHAnsi" w:hAnsiTheme="minorHAnsi" w:cs="Arial"/>
                <w:color w:val="333333"/>
                <w:sz w:val="22"/>
                <w:szCs w:val="22"/>
              </w:rPr>
              <w:t xml:space="preserve">The nurture group has had an impact beyond progress with all students growing in confidence and enjoying English more because they feel they are progressing. </w:t>
            </w:r>
          </w:p>
        </w:tc>
      </w:tr>
      <w:tr w:rsidR="005F39EE" w:rsidRPr="00FD0331" w:rsidTr="00F37756">
        <w:tc>
          <w:tcPr>
            <w:tcW w:w="3196" w:type="dxa"/>
            <w:shd w:val="clear" w:color="auto" w:fill="FFFFFF" w:themeFill="background1"/>
            <w:tcMar>
              <w:top w:w="0" w:type="dxa"/>
              <w:left w:w="108" w:type="dxa"/>
              <w:bottom w:w="0" w:type="dxa"/>
              <w:right w:w="108" w:type="dxa"/>
            </w:tcMar>
            <w:hideMark/>
          </w:tcPr>
          <w:p w:rsidR="005F39EE" w:rsidRPr="00FD0331" w:rsidRDefault="005F39EE" w:rsidP="00245EF8">
            <w:pPr>
              <w:pStyle w:val="NormalWeb"/>
              <w:spacing w:before="0" w:beforeAutospacing="0" w:after="0" w:afterAutospacing="0"/>
              <w:rPr>
                <w:rFonts w:asciiTheme="minorHAnsi" w:hAnsiTheme="minorHAnsi" w:cs="Arial"/>
                <w:color w:val="333333"/>
                <w:sz w:val="21"/>
                <w:szCs w:val="21"/>
              </w:rPr>
            </w:pPr>
            <w:r w:rsidRPr="00FD0331">
              <w:rPr>
                <w:rFonts w:asciiTheme="minorHAnsi" w:hAnsiTheme="minorHAnsi" w:cs="Arial"/>
                <w:color w:val="333333"/>
                <w:sz w:val="22"/>
                <w:szCs w:val="22"/>
              </w:rPr>
              <w:t>Reading partners programme</w:t>
            </w:r>
          </w:p>
        </w:tc>
        <w:tc>
          <w:tcPr>
            <w:tcW w:w="3278" w:type="dxa"/>
            <w:shd w:val="clear" w:color="auto" w:fill="FFFFFF" w:themeFill="background1"/>
            <w:tcMar>
              <w:top w:w="0" w:type="dxa"/>
              <w:left w:w="108" w:type="dxa"/>
              <w:bottom w:w="0" w:type="dxa"/>
              <w:right w:w="108" w:type="dxa"/>
            </w:tcMar>
            <w:hideMark/>
          </w:tcPr>
          <w:p w:rsidR="005F39EE" w:rsidRPr="00FD0331" w:rsidRDefault="005F39EE" w:rsidP="00245EF8">
            <w:pPr>
              <w:pStyle w:val="NormalWeb"/>
              <w:spacing w:before="0" w:beforeAutospacing="0" w:after="0" w:afterAutospacing="0"/>
              <w:rPr>
                <w:rFonts w:asciiTheme="minorHAnsi" w:hAnsiTheme="minorHAnsi" w:cs="Arial"/>
                <w:color w:val="333333"/>
                <w:sz w:val="21"/>
                <w:szCs w:val="21"/>
              </w:rPr>
            </w:pPr>
            <w:r w:rsidRPr="00FD0331">
              <w:rPr>
                <w:rFonts w:asciiTheme="minorHAnsi" w:hAnsiTheme="minorHAnsi" w:cs="Arial"/>
                <w:color w:val="333333"/>
                <w:sz w:val="22"/>
                <w:szCs w:val="22"/>
              </w:rPr>
              <w:t xml:space="preserve">To </w:t>
            </w:r>
            <w:proofErr w:type="gramStart"/>
            <w:r w:rsidRPr="00FD0331">
              <w:rPr>
                <w:rFonts w:asciiTheme="minorHAnsi" w:hAnsiTheme="minorHAnsi" w:cs="Arial"/>
                <w:color w:val="333333"/>
                <w:sz w:val="22"/>
                <w:szCs w:val="22"/>
              </w:rPr>
              <w:t>raise</w:t>
            </w:r>
            <w:proofErr w:type="gramEnd"/>
            <w:r w:rsidRPr="00FD0331">
              <w:rPr>
                <w:rFonts w:asciiTheme="minorHAnsi" w:hAnsiTheme="minorHAnsi" w:cs="Arial"/>
                <w:color w:val="333333"/>
                <w:sz w:val="22"/>
                <w:szCs w:val="22"/>
              </w:rPr>
              <w:t xml:space="preserve"> reading age, improve vocabulary and encourage reading in KS3.</w:t>
            </w:r>
          </w:p>
        </w:tc>
        <w:tc>
          <w:tcPr>
            <w:tcW w:w="6817" w:type="dxa"/>
            <w:shd w:val="clear" w:color="auto" w:fill="FFFFFF" w:themeFill="background1"/>
          </w:tcPr>
          <w:p w:rsidR="005F39EE" w:rsidRPr="00FD0331" w:rsidRDefault="005F39EE" w:rsidP="00245EF8">
            <w:pPr>
              <w:pStyle w:val="NormalWeb"/>
              <w:spacing w:before="0" w:beforeAutospacing="0" w:after="0" w:afterAutospacing="0"/>
              <w:rPr>
                <w:rFonts w:asciiTheme="minorHAnsi" w:hAnsiTheme="minorHAnsi" w:cs="Arial"/>
                <w:color w:val="333333"/>
                <w:sz w:val="22"/>
                <w:szCs w:val="22"/>
                <w:highlight w:val="yellow"/>
              </w:rPr>
            </w:pPr>
            <w:r w:rsidRPr="00BE3BC3">
              <w:rPr>
                <w:rFonts w:asciiTheme="minorHAnsi" w:hAnsiTheme="minorHAnsi" w:cs="Arial"/>
                <w:color w:val="333333"/>
                <w:sz w:val="22"/>
                <w:szCs w:val="22"/>
              </w:rPr>
              <w:t>This has had a quantitative and a qualitative impact on studen</w:t>
            </w:r>
            <w:r w:rsidR="005266B4">
              <w:rPr>
                <w:rFonts w:asciiTheme="minorHAnsi" w:hAnsiTheme="minorHAnsi" w:cs="Arial"/>
                <w:color w:val="333333"/>
                <w:sz w:val="22"/>
                <w:szCs w:val="22"/>
              </w:rPr>
              <w:t>ts.</w:t>
            </w:r>
            <w:r w:rsidRPr="00BE3BC3">
              <w:rPr>
                <w:rFonts w:asciiTheme="minorHAnsi" w:hAnsiTheme="minorHAnsi" w:cs="Arial"/>
                <w:color w:val="333333"/>
                <w:sz w:val="22"/>
                <w:szCs w:val="22"/>
              </w:rPr>
              <w:t xml:space="preserve"> Students asked about benefits – ‘helps with confident’ and ‘helps me to understand words in context</w:t>
            </w:r>
            <w:r w:rsidR="005266B4">
              <w:rPr>
                <w:rFonts w:asciiTheme="minorHAnsi" w:hAnsiTheme="minorHAnsi" w:cs="Arial"/>
                <w:color w:val="333333"/>
                <w:sz w:val="22"/>
                <w:szCs w:val="22"/>
              </w:rPr>
              <w:t xml:space="preserve"> and learn how to do it myself’. </w:t>
            </w:r>
            <w:r w:rsidRPr="00BE3BC3">
              <w:rPr>
                <w:rFonts w:asciiTheme="minorHAnsi" w:hAnsiTheme="minorHAnsi" w:cs="Arial"/>
                <w:color w:val="333333"/>
                <w:sz w:val="22"/>
                <w:szCs w:val="22"/>
              </w:rPr>
              <w:t>All students on reading partners have achieved an improvement in their reading age</w:t>
            </w:r>
            <w:r w:rsidR="005266B4">
              <w:rPr>
                <w:rFonts w:asciiTheme="minorHAnsi" w:hAnsiTheme="minorHAnsi" w:cs="Arial"/>
                <w:color w:val="333333"/>
                <w:sz w:val="22"/>
                <w:szCs w:val="22"/>
              </w:rPr>
              <w:t>. D</w:t>
            </w:r>
            <w:r w:rsidR="00BE3BC3">
              <w:rPr>
                <w:rFonts w:asciiTheme="minorHAnsi" w:hAnsiTheme="minorHAnsi" w:cs="Arial"/>
                <w:color w:val="333333"/>
                <w:sz w:val="22"/>
                <w:szCs w:val="22"/>
              </w:rPr>
              <w:t xml:space="preserve">ata indicates that all student s involved in this programme have </w:t>
            </w:r>
            <w:r w:rsidR="005266B4">
              <w:rPr>
                <w:rFonts w:asciiTheme="minorHAnsi" w:hAnsiTheme="minorHAnsi" w:cs="Arial"/>
                <w:color w:val="333333"/>
                <w:sz w:val="22"/>
                <w:szCs w:val="22"/>
              </w:rPr>
              <w:t>improved in Years 7.</w:t>
            </w:r>
          </w:p>
        </w:tc>
      </w:tr>
      <w:tr w:rsidR="005F39EE" w:rsidRPr="00FD0331" w:rsidTr="00F37756">
        <w:tc>
          <w:tcPr>
            <w:tcW w:w="3196" w:type="dxa"/>
            <w:shd w:val="clear" w:color="auto" w:fill="FFFFFF" w:themeFill="background1"/>
            <w:tcMar>
              <w:top w:w="0" w:type="dxa"/>
              <w:left w:w="108" w:type="dxa"/>
              <w:bottom w:w="0" w:type="dxa"/>
              <w:right w:w="108" w:type="dxa"/>
            </w:tcMar>
            <w:hideMark/>
          </w:tcPr>
          <w:p w:rsidR="005F39EE" w:rsidRPr="00FD0331" w:rsidRDefault="005F39EE" w:rsidP="00245EF8">
            <w:pPr>
              <w:pStyle w:val="NormalWeb"/>
              <w:spacing w:before="0" w:beforeAutospacing="0" w:after="0" w:afterAutospacing="0"/>
              <w:rPr>
                <w:rFonts w:asciiTheme="minorHAnsi" w:hAnsiTheme="minorHAnsi" w:cs="Arial"/>
                <w:color w:val="333333"/>
                <w:sz w:val="21"/>
                <w:szCs w:val="21"/>
              </w:rPr>
            </w:pPr>
            <w:r w:rsidRPr="00FD0331">
              <w:rPr>
                <w:rFonts w:asciiTheme="minorHAnsi" w:hAnsiTheme="minorHAnsi" w:cs="Arial"/>
                <w:color w:val="333333"/>
                <w:sz w:val="22"/>
                <w:szCs w:val="22"/>
              </w:rPr>
              <w:t>Star Reader</w:t>
            </w:r>
          </w:p>
        </w:tc>
        <w:tc>
          <w:tcPr>
            <w:tcW w:w="3278" w:type="dxa"/>
            <w:shd w:val="clear" w:color="auto" w:fill="FFFFFF" w:themeFill="background1"/>
            <w:tcMar>
              <w:top w:w="0" w:type="dxa"/>
              <w:left w:w="108" w:type="dxa"/>
              <w:bottom w:w="0" w:type="dxa"/>
              <w:right w:w="108" w:type="dxa"/>
            </w:tcMar>
            <w:hideMark/>
          </w:tcPr>
          <w:p w:rsidR="005F39EE" w:rsidRPr="00FD0331" w:rsidRDefault="005F39EE" w:rsidP="00245EF8">
            <w:pPr>
              <w:pStyle w:val="NormalWeb"/>
              <w:spacing w:before="0" w:beforeAutospacing="0" w:after="0" w:afterAutospacing="0"/>
              <w:rPr>
                <w:rFonts w:asciiTheme="minorHAnsi" w:hAnsiTheme="minorHAnsi" w:cs="Arial"/>
                <w:color w:val="333333"/>
                <w:sz w:val="21"/>
                <w:szCs w:val="21"/>
              </w:rPr>
            </w:pPr>
            <w:r w:rsidRPr="00FD0331">
              <w:rPr>
                <w:rFonts w:asciiTheme="minorHAnsi" w:hAnsiTheme="minorHAnsi" w:cs="Arial"/>
                <w:color w:val="333333"/>
                <w:sz w:val="22"/>
                <w:szCs w:val="22"/>
              </w:rPr>
              <w:t>To identify and act upon student weaknesses.  Star reading reports and suggested skills.</w:t>
            </w:r>
          </w:p>
        </w:tc>
        <w:tc>
          <w:tcPr>
            <w:tcW w:w="6817" w:type="dxa"/>
            <w:shd w:val="clear" w:color="auto" w:fill="FFFFFF" w:themeFill="background1"/>
          </w:tcPr>
          <w:p w:rsidR="005F39EE" w:rsidRPr="00F37756" w:rsidRDefault="005F39EE" w:rsidP="00F37756">
            <w:pPr>
              <w:ind w:left="-5"/>
              <w:outlineLvl w:val="0"/>
              <w:rPr>
                <w:rFonts w:eastAsia="Calibri" w:cs="Arial"/>
                <w:color w:val="000000" w:themeColor="text1"/>
              </w:rPr>
            </w:pPr>
            <w:r w:rsidRPr="00AF3DB5">
              <w:rPr>
                <w:rFonts w:eastAsia="Calibri" w:cs="Arial"/>
                <w:color w:val="000000" w:themeColor="text1"/>
              </w:rPr>
              <w:t>Most recent data indicates an improvement for students in receipt of the catch up money in both Year 7 and 8 – 63%. Some students have increased by over 2 yea</w:t>
            </w:r>
            <w:r w:rsidR="00F37756">
              <w:rPr>
                <w:rFonts w:eastAsia="Calibri" w:cs="Arial"/>
                <w:color w:val="000000" w:themeColor="text1"/>
              </w:rPr>
              <w:t xml:space="preserve">rs reading age (6 students /37). </w:t>
            </w:r>
          </w:p>
        </w:tc>
      </w:tr>
    </w:tbl>
    <w:p w:rsidR="00C74064" w:rsidRDefault="00C74064" w:rsidP="00FD0331">
      <w:pPr>
        <w:spacing w:after="240"/>
        <w:outlineLvl w:val="0"/>
        <w:rPr>
          <w:rFonts w:eastAsia="Calibri" w:cs="Arial"/>
          <w:b/>
          <w:color w:val="FF1F64"/>
          <w:sz w:val="36"/>
          <w:szCs w:val="36"/>
        </w:rPr>
      </w:pPr>
      <w:r w:rsidRPr="00FD0331">
        <w:rPr>
          <w:rFonts w:eastAsia="Calibri" w:cs="Arial"/>
          <w:b/>
          <w:color w:val="FF1F64"/>
          <w:sz w:val="36"/>
          <w:szCs w:val="36"/>
        </w:rPr>
        <w:lastRenderedPageBreak/>
        <w:t xml:space="preserve">Mathematics </w:t>
      </w:r>
    </w:p>
    <w:tbl>
      <w:tblPr>
        <w:tblW w:w="132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CF0F1"/>
        <w:tblCellMar>
          <w:top w:w="15" w:type="dxa"/>
          <w:left w:w="15" w:type="dxa"/>
          <w:bottom w:w="15" w:type="dxa"/>
          <w:right w:w="15" w:type="dxa"/>
        </w:tblCellMar>
        <w:tblLook w:val="04A0" w:firstRow="1" w:lastRow="0" w:firstColumn="1" w:lastColumn="0" w:noHBand="0" w:noVBand="1"/>
      </w:tblPr>
      <w:tblGrid>
        <w:gridCol w:w="3196"/>
        <w:gridCol w:w="3278"/>
        <w:gridCol w:w="6817"/>
      </w:tblGrid>
      <w:tr w:rsidR="00E12B03" w:rsidRPr="00FD0331" w:rsidTr="00F37756">
        <w:trPr>
          <w:trHeight w:val="619"/>
        </w:trPr>
        <w:tc>
          <w:tcPr>
            <w:tcW w:w="3196" w:type="dxa"/>
            <w:shd w:val="clear" w:color="auto" w:fill="ECF0F1"/>
            <w:tcMar>
              <w:top w:w="0" w:type="dxa"/>
              <w:left w:w="108" w:type="dxa"/>
              <w:bottom w:w="0" w:type="dxa"/>
              <w:right w:w="108" w:type="dxa"/>
            </w:tcMar>
          </w:tcPr>
          <w:p w:rsidR="00E12B03" w:rsidRPr="00FD0331" w:rsidRDefault="00E12B03" w:rsidP="00245EF8">
            <w:pPr>
              <w:spacing w:after="240"/>
              <w:ind w:left="-5"/>
              <w:outlineLvl w:val="0"/>
              <w:rPr>
                <w:rFonts w:eastAsia="Calibri" w:cs="Arial"/>
                <w:b/>
                <w:color w:val="FF1F64"/>
                <w:sz w:val="36"/>
                <w:szCs w:val="36"/>
              </w:rPr>
            </w:pPr>
            <w:r w:rsidRPr="00FD0331">
              <w:rPr>
                <w:rFonts w:eastAsia="Calibri" w:cs="Arial"/>
                <w:b/>
                <w:color w:val="FF1F64"/>
                <w:sz w:val="36"/>
                <w:szCs w:val="36"/>
              </w:rPr>
              <w:t>Method</w:t>
            </w:r>
          </w:p>
        </w:tc>
        <w:tc>
          <w:tcPr>
            <w:tcW w:w="3278" w:type="dxa"/>
            <w:shd w:val="clear" w:color="auto" w:fill="ECF0F1"/>
            <w:tcMar>
              <w:top w:w="0" w:type="dxa"/>
              <w:left w:w="108" w:type="dxa"/>
              <w:bottom w:w="0" w:type="dxa"/>
              <w:right w:w="108" w:type="dxa"/>
            </w:tcMar>
          </w:tcPr>
          <w:p w:rsidR="00E12B03" w:rsidRPr="00FD0331" w:rsidRDefault="00E12B03" w:rsidP="00245EF8">
            <w:pPr>
              <w:spacing w:after="240"/>
              <w:ind w:left="-5"/>
              <w:outlineLvl w:val="0"/>
              <w:rPr>
                <w:rFonts w:eastAsia="Calibri" w:cs="Arial"/>
                <w:b/>
                <w:color w:val="FF1F64"/>
                <w:sz w:val="36"/>
                <w:szCs w:val="36"/>
              </w:rPr>
            </w:pPr>
            <w:r w:rsidRPr="00FD0331">
              <w:rPr>
                <w:rFonts w:eastAsia="Calibri" w:cs="Arial"/>
                <w:b/>
                <w:color w:val="FF1F64"/>
                <w:sz w:val="36"/>
                <w:szCs w:val="36"/>
              </w:rPr>
              <w:t>Aim</w:t>
            </w:r>
          </w:p>
          <w:p w:rsidR="00E12B03" w:rsidRPr="00FD0331" w:rsidRDefault="00E12B03" w:rsidP="00245EF8">
            <w:pPr>
              <w:pStyle w:val="NormalWeb"/>
              <w:spacing w:before="0" w:beforeAutospacing="0" w:after="0" w:afterAutospacing="0"/>
              <w:rPr>
                <w:rFonts w:asciiTheme="minorHAnsi" w:hAnsiTheme="minorHAnsi" w:cs="Arial"/>
                <w:b/>
                <w:color w:val="FF00FF"/>
                <w:sz w:val="22"/>
                <w:szCs w:val="22"/>
              </w:rPr>
            </w:pPr>
          </w:p>
        </w:tc>
        <w:tc>
          <w:tcPr>
            <w:tcW w:w="6817" w:type="dxa"/>
            <w:shd w:val="clear" w:color="auto" w:fill="ECF0F1"/>
          </w:tcPr>
          <w:p w:rsidR="00E12B03" w:rsidRPr="00FD0331" w:rsidRDefault="00E12B03" w:rsidP="00245EF8">
            <w:pPr>
              <w:spacing w:after="240"/>
              <w:ind w:left="-5"/>
              <w:outlineLvl w:val="0"/>
              <w:rPr>
                <w:rFonts w:eastAsia="Calibri" w:cs="Arial"/>
                <w:b/>
                <w:color w:val="FF1F64"/>
                <w:sz w:val="36"/>
                <w:szCs w:val="36"/>
              </w:rPr>
            </w:pPr>
            <w:r w:rsidRPr="00FD0331">
              <w:rPr>
                <w:rFonts w:eastAsia="Calibri" w:cs="Arial"/>
                <w:b/>
                <w:color w:val="FF1F64"/>
                <w:sz w:val="36"/>
                <w:szCs w:val="36"/>
              </w:rPr>
              <w:t xml:space="preserve">Impact </w:t>
            </w:r>
          </w:p>
          <w:p w:rsidR="00E12B03" w:rsidRPr="00FD0331" w:rsidRDefault="00E12B03" w:rsidP="00245EF8">
            <w:pPr>
              <w:pStyle w:val="NormalWeb"/>
              <w:spacing w:before="0" w:beforeAutospacing="0" w:after="0" w:afterAutospacing="0"/>
              <w:rPr>
                <w:rFonts w:asciiTheme="minorHAnsi" w:hAnsiTheme="minorHAnsi" w:cs="Arial"/>
                <w:b/>
                <w:color w:val="FF00FF"/>
                <w:sz w:val="22"/>
                <w:szCs w:val="22"/>
              </w:rPr>
            </w:pPr>
          </w:p>
        </w:tc>
      </w:tr>
      <w:tr w:rsidR="00E12B03" w:rsidRPr="00FD0331" w:rsidTr="00F37756">
        <w:tc>
          <w:tcPr>
            <w:tcW w:w="3196" w:type="dxa"/>
            <w:shd w:val="clear" w:color="auto" w:fill="FFFFFF" w:themeFill="background1"/>
            <w:tcMar>
              <w:top w:w="0" w:type="dxa"/>
              <w:left w:w="108" w:type="dxa"/>
              <w:bottom w:w="0" w:type="dxa"/>
              <w:right w:w="108" w:type="dxa"/>
            </w:tcMar>
            <w:hideMark/>
          </w:tcPr>
          <w:p w:rsidR="00E12B03" w:rsidRDefault="00D735D7" w:rsidP="00245EF8">
            <w:pPr>
              <w:pStyle w:val="NormalWeb"/>
              <w:spacing w:before="0" w:beforeAutospacing="0" w:after="0" w:afterAutospacing="0"/>
              <w:rPr>
                <w:rFonts w:asciiTheme="minorHAnsi" w:hAnsiTheme="minorHAnsi" w:cs="Arial"/>
                <w:color w:val="333333"/>
                <w:sz w:val="22"/>
                <w:szCs w:val="22"/>
              </w:rPr>
            </w:pPr>
            <w:r w:rsidRPr="00D735D7">
              <w:rPr>
                <w:rFonts w:asciiTheme="minorHAnsi" w:hAnsiTheme="minorHAnsi" w:cs="Arial"/>
                <w:color w:val="333333"/>
                <w:sz w:val="22"/>
                <w:szCs w:val="22"/>
              </w:rPr>
              <w:t>The White Rose scheme of work</w:t>
            </w:r>
          </w:p>
          <w:p w:rsidR="00E12B03" w:rsidRPr="00FD0331" w:rsidRDefault="00E12B03" w:rsidP="00245EF8">
            <w:pPr>
              <w:pStyle w:val="NormalWeb"/>
              <w:spacing w:before="0" w:beforeAutospacing="0" w:after="0" w:afterAutospacing="0"/>
              <w:rPr>
                <w:rFonts w:asciiTheme="minorHAnsi" w:hAnsiTheme="minorHAnsi" w:cs="Arial"/>
                <w:color w:val="333333"/>
                <w:sz w:val="21"/>
                <w:szCs w:val="21"/>
              </w:rPr>
            </w:pPr>
          </w:p>
        </w:tc>
        <w:tc>
          <w:tcPr>
            <w:tcW w:w="3278" w:type="dxa"/>
            <w:shd w:val="clear" w:color="auto" w:fill="FFFFFF" w:themeFill="background1"/>
            <w:tcMar>
              <w:top w:w="0" w:type="dxa"/>
              <w:left w:w="108" w:type="dxa"/>
              <w:bottom w:w="0" w:type="dxa"/>
              <w:right w:w="108" w:type="dxa"/>
            </w:tcMar>
            <w:hideMark/>
          </w:tcPr>
          <w:p w:rsidR="00E12B03" w:rsidRPr="00FD0331" w:rsidRDefault="00E27F92" w:rsidP="00245EF8">
            <w:pPr>
              <w:pStyle w:val="NormalWeb"/>
              <w:spacing w:before="0" w:beforeAutospacing="0" w:after="0" w:afterAutospacing="0"/>
              <w:rPr>
                <w:rFonts w:asciiTheme="minorHAnsi" w:hAnsiTheme="minorHAnsi" w:cs="Arial"/>
                <w:color w:val="333333"/>
                <w:sz w:val="21"/>
                <w:szCs w:val="21"/>
              </w:rPr>
            </w:pPr>
            <w:r>
              <w:rPr>
                <w:rFonts w:asciiTheme="minorHAnsi" w:hAnsiTheme="minorHAnsi" w:cs="Arial"/>
                <w:color w:val="333333"/>
                <w:sz w:val="21"/>
                <w:szCs w:val="21"/>
              </w:rPr>
              <w:t xml:space="preserve">To allow </w:t>
            </w:r>
            <w:r w:rsidRPr="00E27F92">
              <w:rPr>
                <w:rFonts w:asciiTheme="minorHAnsi" w:hAnsiTheme="minorHAnsi" w:cs="Arial"/>
                <w:color w:val="333333"/>
                <w:sz w:val="21"/>
                <w:szCs w:val="21"/>
              </w:rPr>
              <w:t>students who had performed considerably lower than the national average in Mathematics to be taught at a level and pace that was appropriate to them. The White Rose scheme of work was used to fill in the many gaps in the students understanding which allowed basic numeracy skills to be taught as per the expectation of a Year 1 student and higher.</w:t>
            </w:r>
          </w:p>
        </w:tc>
        <w:tc>
          <w:tcPr>
            <w:tcW w:w="6817" w:type="dxa"/>
            <w:shd w:val="clear" w:color="auto" w:fill="FFFFFF" w:themeFill="background1"/>
          </w:tcPr>
          <w:p w:rsidR="00E12B03" w:rsidRPr="00FD0331" w:rsidRDefault="00AA408D" w:rsidP="00245EF8">
            <w:pPr>
              <w:pStyle w:val="NormalWeb"/>
              <w:spacing w:before="0" w:beforeAutospacing="0" w:after="0" w:afterAutospacing="0"/>
              <w:rPr>
                <w:rFonts w:asciiTheme="minorHAnsi" w:hAnsiTheme="minorHAnsi" w:cs="Arial"/>
                <w:color w:val="333333"/>
                <w:sz w:val="22"/>
                <w:szCs w:val="22"/>
                <w:highlight w:val="yellow"/>
              </w:rPr>
            </w:pPr>
            <w:r w:rsidRPr="00AA408D">
              <w:rPr>
                <w:rFonts w:asciiTheme="minorHAnsi" w:hAnsiTheme="minorHAnsi" w:cs="Arial"/>
                <w:color w:val="333333"/>
                <w:sz w:val="22"/>
                <w:szCs w:val="22"/>
              </w:rPr>
              <w:t>At the start of the academic year 50% of the students were achieving at Year 2 and the rest at Year 1 in the following strands: 4 operations, decimals, fractions, percentages and ratio. By the end of the year all students had progressed by at least one Year in these strands. 55% of the students made 2 or more Years of progress in these strands.</w:t>
            </w:r>
          </w:p>
        </w:tc>
      </w:tr>
    </w:tbl>
    <w:p w:rsidR="00E12B03" w:rsidRPr="00FD0331" w:rsidRDefault="00E12B03" w:rsidP="00FD0331">
      <w:pPr>
        <w:spacing w:after="240"/>
        <w:outlineLvl w:val="0"/>
        <w:rPr>
          <w:rFonts w:eastAsia="Calibri" w:cs="Arial"/>
          <w:color w:val="000000" w:themeColor="text1"/>
          <w:sz w:val="24"/>
        </w:rPr>
      </w:pPr>
    </w:p>
    <w:p w:rsidR="008527BF" w:rsidRDefault="008527BF" w:rsidP="00E12B03">
      <w:pPr>
        <w:spacing w:after="240"/>
        <w:jc w:val="center"/>
        <w:outlineLvl w:val="0"/>
        <w:rPr>
          <w:rFonts w:eastAsia="Calibri" w:cs="Arial"/>
          <w:b/>
          <w:color w:val="FF1F64"/>
          <w:sz w:val="36"/>
          <w:szCs w:val="36"/>
        </w:rPr>
      </w:pPr>
    </w:p>
    <w:p w:rsidR="00F37756" w:rsidRDefault="00F37756" w:rsidP="00E12B03">
      <w:pPr>
        <w:spacing w:after="240"/>
        <w:jc w:val="center"/>
        <w:outlineLvl w:val="0"/>
        <w:rPr>
          <w:rFonts w:eastAsia="Calibri" w:cs="Arial"/>
          <w:b/>
          <w:color w:val="FF1F64"/>
          <w:sz w:val="36"/>
          <w:szCs w:val="36"/>
        </w:rPr>
      </w:pPr>
    </w:p>
    <w:p w:rsidR="00F37756" w:rsidRDefault="00F37756" w:rsidP="00E12B03">
      <w:pPr>
        <w:spacing w:after="240"/>
        <w:jc w:val="center"/>
        <w:outlineLvl w:val="0"/>
        <w:rPr>
          <w:rFonts w:eastAsia="Calibri" w:cs="Arial"/>
          <w:b/>
          <w:color w:val="FF1F64"/>
          <w:sz w:val="36"/>
          <w:szCs w:val="36"/>
        </w:rPr>
      </w:pPr>
    </w:p>
    <w:p w:rsidR="00F37756" w:rsidRDefault="00F37756" w:rsidP="00E12B03">
      <w:pPr>
        <w:spacing w:after="240"/>
        <w:jc w:val="center"/>
        <w:outlineLvl w:val="0"/>
        <w:rPr>
          <w:rFonts w:eastAsia="Calibri" w:cs="Arial"/>
          <w:b/>
          <w:color w:val="FF1F64"/>
          <w:sz w:val="36"/>
          <w:szCs w:val="36"/>
        </w:rPr>
      </w:pPr>
    </w:p>
    <w:p w:rsidR="00F37756" w:rsidRDefault="00F37756" w:rsidP="00E12B03">
      <w:pPr>
        <w:spacing w:after="240"/>
        <w:jc w:val="center"/>
        <w:outlineLvl w:val="0"/>
        <w:rPr>
          <w:rFonts w:eastAsia="Calibri" w:cs="Arial"/>
          <w:b/>
          <w:color w:val="FF1F64"/>
          <w:sz w:val="36"/>
          <w:szCs w:val="36"/>
        </w:rPr>
      </w:pPr>
    </w:p>
    <w:p w:rsidR="00F37756" w:rsidRDefault="00F37756" w:rsidP="00E12B03">
      <w:pPr>
        <w:spacing w:after="240"/>
        <w:jc w:val="center"/>
        <w:outlineLvl w:val="0"/>
        <w:rPr>
          <w:rFonts w:eastAsia="Calibri" w:cs="Arial"/>
          <w:b/>
          <w:color w:val="FF1F64"/>
          <w:sz w:val="36"/>
          <w:szCs w:val="36"/>
        </w:rPr>
      </w:pPr>
    </w:p>
    <w:p w:rsidR="00C74064" w:rsidRPr="00525627" w:rsidRDefault="00C74064" w:rsidP="00E12B03">
      <w:pPr>
        <w:spacing w:after="240"/>
        <w:jc w:val="center"/>
        <w:outlineLvl w:val="0"/>
        <w:rPr>
          <w:rFonts w:eastAsia="Calibri" w:cs="Arial"/>
          <w:b/>
          <w:color w:val="FF1F64"/>
          <w:sz w:val="36"/>
          <w:szCs w:val="36"/>
        </w:rPr>
      </w:pPr>
      <w:r w:rsidRPr="00525627">
        <w:rPr>
          <w:rFonts w:eastAsia="Calibri" w:cs="Arial"/>
          <w:b/>
          <w:color w:val="FF1F64"/>
          <w:sz w:val="36"/>
          <w:szCs w:val="36"/>
        </w:rPr>
        <w:lastRenderedPageBreak/>
        <w:t>2019 – 2020</w:t>
      </w:r>
      <w:r w:rsidR="00FD0331" w:rsidRPr="00525627">
        <w:rPr>
          <w:rFonts w:eastAsia="Calibri" w:cs="Arial"/>
          <w:b/>
          <w:color w:val="FF1F64"/>
          <w:sz w:val="36"/>
          <w:szCs w:val="36"/>
        </w:rPr>
        <w:t xml:space="preserve"> Plan</w:t>
      </w:r>
    </w:p>
    <w:p w:rsidR="005F39EE" w:rsidRPr="00FD0331" w:rsidRDefault="005F39EE" w:rsidP="005F39EE">
      <w:pPr>
        <w:spacing w:after="240"/>
        <w:ind w:left="-5"/>
        <w:outlineLvl w:val="0"/>
        <w:rPr>
          <w:rFonts w:eastAsia="Calibri" w:cs="Arial"/>
          <w:b/>
          <w:color w:val="FF1F64"/>
          <w:sz w:val="36"/>
          <w:szCs w:val="36"/>
        </w:rPr>
      </w:pPr>
      <w:r w:rsidRPr="00FD0331">
        <w:rPr>
          <w:rFonts w:eastAsia="Calibri" w:cs="Arial"/>
          <w:b/>
          <w:color w:val="FF1F64"/>
          <w:sz w:val="36"/>
          <w:szCs w:val="36"/>
        </w:rPr>
        <w:t xml:space="preserve">Literacy </w:t>
      </w:r>
    </w:p>
    <w:p w:rsidR="005F39EE" w:rsidRPr="00FD0331" w:rsidRDefault="005F39EE" w:rsidP="00E12B03">
      <w:pPr>
        <w:spacing w:after="240"/>
        <w:ind w:left="-5"/>
        <w:jc w:val="both"/>
        <w:outlineLvl w:val="0"/>
        <w:rPr>
          <w:rFonts w:eastAsia="Calibri" w:cs="Arial"/>
          <w:color w:val="000000" w:themeColor="text1"/>
          <w:sz w:val="24"/>
        </w:rPr>
      </w:pPr>
      <w:r w:rsidRPr="00FD0331">
        <w:rPr>
          <w:rFonts w:eastAsia="Calibri" w:cs="Arial"/>
          <w:color w:val="000000" w:themeColor="text1"/>
          <w:sz w:val="24"/>
        </w:rPr>
        <w:t xml:space="preserve">Assessment - The funding will be used to carry out </w:t>
      </w:r>
      <w:proofErr w:type="spellStart"/>
      <w:r w:rsidRPr="00FD0331">
        <w:rPr>
          <w:rFonts w:eastAsia="Calibri" w:cs="Arial"/>
          <w:color w:val="000000" w:themeColor="text1"/>
          <w:sz w:val="24"/>
        </w:rPr>
        <w:t>MidYIS</w:t>
      </w:r>
      <w:proofErr w:type="spellEnd"/>
      <w:r w:rsidRPr="00FD0331">
        <w:rPr>
          <w:rFonts w:eastAsia="Calibri" w:cs="Arial"/>
          <w:color w:val="000000" w:themeColor="text1"/>
          <w:sz w:val="24"/>
        </w:rPr>
        <w:t xml:space="preserve"> Testing on transition from Year 6 to Year 7, this will allow us to Benchmark more accurately and obtain detailed insight to areas of need and plan appropriately to support. </w:t>
      </w:r>
    </w:p>
    <w:p w:rsidR="005F39EE" w:rsidRPr="00FD0331" w:rsidRDefault="005F39EE" w:rsidP="00E12B03">
      <w:pPr>
        <w:spacing w:after="240"/>
        <w:jc w:val="both"/>
        <w:outlineLvl w:val="0"/>
        <w:rPr>
          <w:rFonts w:eastAsia="Calibri" w:cs="Arial"/>
          <w:color w:val="000000" w:themeColor="text1"/>
          <w:sz w:val="24"/>
        </w:rPr>
      </w:pPr>
      <w:r w:rsidRPr="00FD0331">
        <w:rPr>
          <w:rFonts w:eastAsia="Calibri" w:cs="Arial"/>
          <w:color w:val="000000" w:themeColor="text1"/>
          <w:sz w:val="24"/>
        </w:rPr>
        <w:t>Strategies will then be used to support ind</w:t>
      </w:r>
      <w:r w:rsidR="00FD0331" w:rsidRPr="00FD0331">
        <w:rPr>
          <w:rFonts w:eastAsia="Calibri" w:cs="Arial"/>
          <w:color w:val="000000" w:themeColor="text1"/>
          <w:sz w:val="24"/>
        </w:rPr>
        <w:t xml:space="preserve">ividuals who fall below the </w:t>
      </w:r>
      <w:r w:rsidRPr="00FD0331">
        <w:rPr>
          <w:rFonts w:eastAsia="Calibri" w:cs="Arial"/>
          <w:color w:val="000000" w:themeColor="text1"/>
          <w:sz w:val="24"/>
        </w:rPr>
        <w:t xml:space="preserve">benchmark in the Key Stage 2 examinations, this includes support inside and outside of the classroom, additional resources to support learning such as electronic programmes and texts. </w:t>
      </w:r>
    </w:p>
    <w:tbl>
      <w:tblPr>
        <w:tblW w:w="132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CF0F1"/>
        <w:tblCellMar>
          <w:top w:w="15" w:type="dxa"/>
          <w:left w:w="15" w:type="dxa"/>
          <w:bottom w:w="15" w:type="dxa"/>
          <w:right w:w="15" w:type="dxa"/>
        </w:tblCellMar>
        <w:tblLook w:val="04A0" w:firstRow="1" w:lastRow="0" w:firstColumn="1" w:lastColumn="0" w:noHBand="0" w:noVBand="1"/>
      </w:tblPr>
      <w:tblGrid>
        <w:gridCol w:w="3196"/>
        <w:gridCol w:w="3278"/>
        <w:gridCol w:w="6817"/>
      </w:tblGrid>
      <w:tr w:rsidR="005F39EE" w:rsidRPr="00FD0331" w:rsidTr="00F37756">
        <w:trPr>
          <w:trHeight w:val="619"/>
        </w:trPr>
        <w:tc>
          <w:tcPr>
            <w:tcW w:w="3196" w:type="dxa"/>
            <w:shd w:val="clear" w:color="auto" w:fill="ECF0F1"/>
            <w:tcMar>
              <w:top w:w="0" w:type="dxa"/>
              <w:left w:w="108" w:type="dxa"/>
              <w:bottom w:w="0" w:type="dxa"/>
              <w:right w:w="108" w:type="dxa"/>
            </w:tcMar>
          </w:tcPr>
          <w:p w:rsidR="005F39EE" w:rsidRPr="00FD0331" w:rsidRDefault="005F39EE" w:rsidP="00245EF8">
            <w:pPr>
              <w:spacing w:after="240"/>
              <w:ind w:left="-5"/>
              <w:outlineLvl w:val="0"/>
              <w:rPr>
                <w:rFonts w:eastAsia="Calibri" w:cs="Arial"/>
                <w:b/>
                <w:color w:val="FF1F64"/>
                <w:sz w:val="36"/>
                <w:szCs w:val="36"/>
              </w:rPr>
            </w:pPr>
            <w:r w:rsidRPr="00FD0331">
              <w:rPr>
                <w:rFonts w:eastAsia="Calibri" w:cs="Arial"/>
                <w:b/>
                <w:color w:val="FF1F64"/>
                <w:sz w:val="36"/>
                <w:szCs w:val="36"/>
              </w:rPr>
              <w:t>Method</w:t>
            </w:r>
          </w:p>
        </w:tc>
        <w:tc>
          <w:tcPr>
            <w:tcW w:w="3278" w:type="dxa"/>
            <w:shd w:val="clear" w:color="auto" w:fill="ECF0F1"/>
            <w:tcMar>
              <w:top w:w="0" w:type="dxa"/>
              <w:left w:w="108" w:type="dxa"/>
              <w:bottom w:w="0" w:type="dxa"/>
              <w:right w:w="108" w:type="dxa"/>
            </w:tcMar>
          </w:tcPr>
          <w:p w:rsidR="005F39EE" w:rsidRPr="00FD0331" w:rsidRDefault="005F39EE" w:rsidP="00245EF8">
            <w:pPr>
              <w:spacing w:after="240"/>
              <w:ind w:left="-5"/>
              <w:outlineLvl w:val="0"/>
              <w:rPr>
                <w:rFonts w:eastAsia="Calibri" w:cs="Arial"/>
                <w:b/>
                <w:color w:val="FF1F64"/>
                <w:sz w:val="36"/>
                <w:szCs w:val="36"/>
              </w:rPr>
            </w:pPr>
            <w:r w:rsidRPr="00FD0331">
              <w:rPr>
                <w:rFonts w:eastAsia="Calibri" w:cs="Arial"/>
                <w:b/>
                <w:color w:val="FF1F64"/>
                <w:sz w:val="36"/>
                <w:szCs w:val="36"/>
              </w:rPr>
              <w:t>Aim</w:t>
            </w:r>
          </w:p>
          <w:p w:rsidR="005F39EE" w:rsidRPr="00FD0331" w:rsidRDefault="005F39EE" w:rsidP="00245EF8">
            <w:pPr>
              <w:pStyle w:val="NormalWeb"/>
              <w:spacing w:before="0" w:beforeAutospacing="0" w:after="0" w:afterAutospacing="0"/>
              <w:rPr>
                <w:rFonts w:asciiTheme="minorHAnsi" w:hAnsiTheme="minorHAnsi" w:cs="Arial"/>
                <w:b/>
                <w:color w:val="FF00FF"/>
                <w:sz w:val="22"/>
                <w:szCs w:val="22"/>
              </w:rPr>
            </w:pPr>
          </w:p>
        </w:tc>
        <w:tc>
          <w:tcPr>
            <w:tcW w:w="6817" w:type="dxa"/>
            <w:tcBorders>
              <w:bottom w:val="single" w:sz="8" w:space="0" w:color="auto"/>
            </w:tcBorders>
            <w:shd w:val="clear" w:color="auto" w:fill="ECF0F1"/>
          </w:tcPr>
          <w:p w:rsidR="005F39EE" w:rsidRPr="00FD0331" w:rsidRDefault="005F39EE" w:rsidP="00245EF8">
            <w:pPr>
              <w:spacing w:after="240"/>
              <w:ind w:left="-5"/>
              <w:outlineLvl w:val="0"/>
              <w:rPr>
                <w:rFonts w:eastAsia="Calibri" w:cs="Arial"/>
                <w:b/>
                <w:color w:val="FF1F64"/>
                <w:sz w:val="36"/>
                <w:szCs w:val="36"/>
              </w:rPr>
            </w:pPr>
            <w:r w:rsidRPr="00FD0331">
              <w:rPr>
                <w:rFonts w:eastAsia="Calibri" w:cs="Arial"/>
                <w:b/>
                <w:color w:val="FF1F64"/>
                <w:sz w:val="36"/>
                <w:szCs w:val="36"/>
              </w:rPr>
              <w:t xml:space="preserve">Intended Impact </w:t>
            </w:r>
          </w:p>
          <w:p w:rsidR="005F39EE" w:rsidRPr="00FD0331" w:rsidRDefault="005F39EE" w:rsidP="00245EF8">
            <w:pPr>
              <w:pStyle w:val="NormalWeb"/>
              <w:spacing w:before="0" w:beforeAutospacing="0" w:after="0" w:afterAutospacing="0"/>
              <w:rPr>
                <w:rFonts w:asciiTheme="minorHAnsi" w:hAnsiTheme="minorHAnsi" w:cs="Arial"/>
                <w:b/>
                <w:color w:val="FF00FF"/>
                <w:sz w:val="22"/>
                <w:szCs w:val="22"/>
              </w:rPr>
            </w:pPr>
          </w:p>
        </w:tc>
      </w:tr>
      <w:tr w:rsidR="005F39EE" w:rsidRPr="00FD0331" w:rsidTr="00F37756">
        <w:tc>
          <w:tcPr>
            <w:tcW w:w="3196" w:type="dxa"/>
            <w:shd w:val="clear" w:color="auto" w:fill="FFFFFF" w:themeFill="background1"/>
            <w:tcMar>
              <w:top w:w="0" w:type="dxa"/>
              <w:left w:w="108" w:type="dxa"/>
              <w:bottom w:w="0" w:type="dxa"/>
              <w:right w:w="108" w:type="dxa"/>
            </w:tcMar>
            <w:hideMark/>
          </w:tcPr>
          <w:p w:rsidR="005F39EE" w:rsidRPr="00FD0331" w:rsidRDefault="005F39EE" w:rsidP="00245EF8">
            <w:pPr>
              <w:pStyle w:val="NormalWeb"/>
              <w:spacing w:before="0" w:beforeAutospacing="0" w:after="0" w:afterAutospacing="0"/>
              <w:rPr>
                <w:rFonts w:asciiTheme="minorHAnsi" w:hAnsiTheme="minorHAnsi" w:cs="Arial"/>
                <w:color w:val="333333"/>
                <w:sz w:val="21"/>
                <w:szCs w:val="21"/>
              </w:rPr>
            </w:pPr>
            <w:r w:rsidRPr="00FD0331">
              <w:rPr>
                <w:rFonts w:asciiTheme="minorHAnsi" w:hAnsiTheme="minorHAnsi" w:cs="Arial"/>
                <w:color w:val="333333"/>
                <w:sz w:val="22"/>
                <w:szCs w:val="22"/>
              </w:rPr>
              <w:t>Accelerated reader programme</w:t>
            </w:r>
          </w:p>
        </w:tc>
        <w:tc>
          <w:tcPr>
            <w:tcW w:w="3278" w:type="dxa"/>
            <w:shd w:val="clear" w:color="auto" w:fill="FFFFFF" w:themeFill="background1"/>
            <w:tcMar>
              <w:top w:w="0" w:type="dxa"/>
              <w:left w:w="108" w:type="dxa"/>
              <w:bottom w:w="0" w:type="dxa"/>
              <w:right w:w="108" w:type="dxa"/>
            </w:tcMar>
            <w:hideMark/>
          </w:tcPr>
          <w:p w:rsidR="005F39EE" w:rsidRPr="00FD0331" w:rsidRDefault="005F39EE" w:rsidP="00245EF8">
            <w:pPr>
              <w:pStyle w:val="NormalWeb"/>
              <w:spacing w:before="0" w:beforeAutospacing="0" w:after="0" w:afterAutospacing="0"/>
              <w:rPr>
                <w:rFonts w:asciiTheme="minorHAnsi" w:hAnsiTheme="minorHAnsi" w:cs="Arial"/>
                <w:color w:val="333333"/>
                <w:sz w:val="21"/>
                <w:szCs w:val="21"/>
              </w:rPr>
            </w:pPr>
            <w:r w:rsidRPr="00FD0331">
              <w:rPr>
                <w:rFonts w:asciiTheme="minorHAnsi" w:hAnsiTheme="minorHAnsi" w:cs="Arial"/>
                <w:color w:val="333333"/>
                <w:sz w:val="22"/>
                <w:szCs w:val="22"/>
              </w:rPr>
              <w:t xml:space="preserve">To </w:t>
            </w:r>
            <w:proofErr w:type="gramStart"/>
            <w:r w:rsidRPr="00FD0331">
              <w:rPr>
                <w:rFonts w:asciiTheme="minorHAnsi" w:hAnsiTheme="minorHAnsi" w:cs="Arial"/>
                <w:color w:val="333333"/>
                <w:sz w:val="22"/>
                <w:szCs w:val="22"/>
              </w:rPr>
              <w:t>raise</w:t>
            </w:r>
            <w:proofErr w:type="gramEnd"/>
            <w:r w:rsidRPr="00FD0331">
              <w:rPr>
                <w:rFonts w:asciiTheme="minorHAnsi" w:hAnsiTheme="minorHAnsi" w:cs="Arial"/>
                <w:color w:val="333333"/>
                <w:sz w:val="22"/>
                <w:szCs w:val="22"/>
              </w:rPr>
              <w:t xml:space="preserve"> reading age, improve vocabulary and encourage reading in KS3.</w:t>
            </w:r>
          </w:p>
        </w:tc>
        <w:tc>
          <w:tcPr>
            <w:tcW w:w="6817" w:type="dxa"/>
            <w:tcBorders>
              <w:bottom w:val="single" w:sz="8" w:space="0" w:color="auto"/>
            </w:tcBorders>
            <w:shd w:val="clear" w:color="auto" w:fill="auto"/>
          </w:tcPr>
          <w:p w:rsidR="005F39EE" w:rsidRPr="00E96DAD" w:rsidRDefault="00E96DAD" w:rsidP="00E96DAD">
            <w:pPr>
              <w:pStyle w:val="NormalWeb"/>
              <w:spacing w:before="0" w:beforeAutospacing="0" w:after="0" w:afterAutospacing="0"/>
              <w:rPr>
                <w:rFonts w:asciiTheme="minorHAnsi" w:hAnsiTheme="minorHAnsi" w:cs="Arial"/>
                <w:color w:val="333333"/>
                <w:sz w:val="22"/>
                <w:szCs w:val="22"/>
              </w:rPr>
            </w:pPr>
            <w:r w:rsidRPr="00E96DAD">
              <w:rPr>
                <w:rFonts w:asciiTheme="minorHAnsi" w:hAnsiTheme="minorHAnsi" w:cs="Arial"/>
                <w:color w:val="333333"/>
                <w:sz w:val="22"/>
                <w:szCs w:val="22"/>
              </w:rPr>
              <w:t xml:space="preserve">The accelerated reader programme will continue to   encourage reading –this is happening evidenced by the number of books being read – with focus on students receiving the funding. Students are intended to continue to show a marked increase in both the amount of reading, interest in reading and reading ag. 2019-20 we will be using a test on SMHW at the start and end of each term to show which specific areas have been improved upon. Data for this will be available mid Spring </w:t>
            </w:r>
          </w:p>
          <w:p w:rsidR="00E96DAD" w:rsidRPr="00FD0331" w:rsidRDefault="00E96DAD" w:rsidP="00E96DAD">
            <w:pPr>
              <w:pStyle w:val="NormalWeb"/>
              <w:spacing w:before="0" w:beforeAutospacing="0" w:after="0" w:afterAutospacing="0"/>
              <w:rPr>
                <w:rFonts w:asciiTheme="minorHAnsi" w:hAnsiTheme="minorHAnsi" w:cs="Arial"/>
                <w:color w:val="333333"/>
                <w:sz w:val="22"/>
                <w:szCs w:val="22"/>
                <w:highlight w:val="yellow"/>
              </w:rPr>
            </w:pPr>
            <w:r w:rsidRPr="00E96DAD">
              <w:rPr>
                <w:rFonts w:asciiTheme="minorHAnsi" w:hAnsiTheme="minorHAnsi" w:cs="Arial"/>
                <w:color w:val="333333"/>
                <w:sz w:val="22"/>
                <w:szCs w:val="22"/>
              </w:rPr>
              <w:t>We are also intending to use other aspects of this programme to support with encouraging a love of reading/interest in it.</w:t>
            </w:r>
            <w:r>
              <w:rPr>
                <w:rFonts w:asciiTheme="minorHAnsi" w:hAnsiTheme="minorHAnsi" w:cs="Arial"/>
                <w:color w:val="333333"/>
                <w:sz w:val="22"/>
                <w:szCs w:val="22"/>
              </w:rPr>
              <w:t xml:space="preserve"> </w:t>
            </w:r>
          </w:p>
        </w:tc>
      </w:tr>
      <w:tr w:rsidR="005F39EE" w:rsidRPr="00FD0331" w:rsidTr="00F37756">
        <w:tc>
          <w:tcPr>
            <w:tcW w:w="3196" w:type="dxa"/>
            <w:shd w:val="clear" w:color="auto" w:fill="FFFFFF" w:themeFill="background1"/>
            <w:tcMar>
              <w:top w:w="0" w:type="dxa"/>
              <w:left w:w="108" w:type="dxa"/>
              <w:bottom w:w="0" w:type="dxa"/>
              <w:right w:w="108" w:type="dxa"/>
            </w:tcMar>
          </w:tcPr>
          <w:p w:rsidR="005F39EE" w:rsidRPr="00FD0331" w:rsidRDefault="005F39EE" w:rsidP="00245EF8">
            <w:pPr>
              <w:pStyle w:val="NormalWeb"/>
              <w:spacing w:before="0" w:beforeAutospacing="0" w:after="0" w:afterAutospacing="0"/>
              <w:rPr>
                <w:rFonts w:asciiTheme="minorHAnsi" w:hAnsiTheme="minorHAnsi" w:cs="Arial"/>
                <w:color w:val="333333"/>
                <w:sz w:val="22"/>
                <w:szCs w:val="22"/>
              </w:rPr>
            </w:pPr>
            <w:r w:rsidRPr="00FD0331">
              <w:rPr>
                <w:rFonts w:asciiTheme="minorHAnsi" w:hAnsiTheme="minorHAnsi" w:cs="Arial"/>
                <w:color w:val="333333"/>
                <w:sz w:val="22"/>
                <w:szCs w:val="22"/>
              </w:rPr>
              <w:t xml:space="preserve">Nurture group Year 7 and 8 </w:t>
            </w:r>
          </w:p>
        </w:tc>
        <w:tc>
          <w:tcPr>
            <w:tcW w:w="3278" w:type="dxa"/>
            <w:shd w:val="clear" w:color="auto" w:fill="FFFFFF" w:themeFill="background1"/>
            <w:tcMar>
              <w:top w:w="0" w:type="dxa"/>
              <w:left w:w="108" w:type="dxa"/>
              <w:bottom w:w="0" w:type="dxa"/>
              <w:right w:w="108" w:type="dxa"/>
            </w:tcMar>
          </w:tcPr>
          <w:p w:rsidR="005F39EE" w:rsidRPr="00FD0331" w:rsidRDefault="005F39EE" w:rsidP="00245EF8">
            <w:pPr>
              <w:pStyle w:val="NormalWeb"/>
              <w:spacing w:before="0" w:beforeAutospacing="0" w:after="0" w:afterAutospacing="0"/>
              <w:rPr>
                <w:rFonts w:asciiTheme="minorHAnsi" w:hAnsiTheme="minorHAnsi" w:cs="Arial"/>
                <w:color w:val="333333"/>
                <w:sz w:val="22"/>
                <w:szCs w:val="22"/>
              </w:rPr>
            </w:pPr>
            <w:r w:rsidRPr="00FD0331">
              <w:rPr>
                <w:rFonts w:asciiTheme="minorHAnsi" w:hAnsiTheme="minorHAnsi" w:cs="Arial"/>
                <w:color w:val="333333"/>
                <w:sz w:val="22"/>
                <w:szCs w:val="22"/>
              </w:rPr>
              <w:t xml:space="preserve">To support with issues with basic literacy skills </w:t>
            </w:r>
          </w:p>
        </w:tc>
        <w:tc>
          <w:tcPr>
            <w:tcW w:w="6817" w:type="dxa"/>
            <w:shd w:val="clear" w:color="auto" w:fill="auto"/>
          </w:tcPr>
          <w:p w:rsidR="005F39EE" w:rsidRPr="007B31DC" w:rsidRDefault="00E96DAD" w:rsidP="00E96DAD">
            <w:pPr>
              <w:pStyle w:val="NormalWeb"/>
              <w:spacing w:before="0" w:beforeAutospacing="0" w:after="0" w:afterAutospacing="0"/>
              <w:rPr>
                <w:rFonts w:asciiTheme="minorHAnsi" w:hAnsiTheme="minorHAnsi" w:cs="Arial"/>
                <w:color w:val="333333"/>
                <w:sz w:val="22"/>
                <w:szCs w:val="22"/>
              </w:rPr>
            </w:pPr>
            <w:r w:rsidRPr="007B31DC">
              <w:rPr>
                <w:rFonts w:asciiTheme="minorHAnsi" w:hAnsiTheme="minorHAnsi" w:cs="Arial"/>
                <w:color w:val="333333"/>
                <w:sz w:val="22"/>
                <w:szCs w:val="22"/>
              </w:rPr>
              <w:t>We anticipate t</w:t>
            </w:r>
            <w:r w:rsidR="0021380F">
              <w:rPr>
                <w:rFonts w:asciiTheme="minorHAnsi" w:hAnsiTheme="minorHAnsi" w:cs="Arial"/>
                <w:color w:val="333333"/>
                <w:sz w:val="22"/>
                <w:szCs w:val="22"/>
              </w:rPr>
              <w:t>hat the nurture group will have an</w:t>
            </w:r>
            <w:r w:rsidRPr="007B31DC">
              <w:rPr>
                <w:rFonts w:asciiTheme="minorHAnsi" w:hAnsiTheme="minorHAnsi" w:cs="Arial"/>
                <w:color w:val="333333"/>
                <w:sz w:val="22"/>
                <w:szCs w:val="22"/>
              </w:rPr>
              <w:t xml:space="preserve"> impact beyond progress</w:t>
            </w:r>
            <w:r w:rsidR="0021380F">
              <w:rPr>
                <w:rFonts w:asciiTheme="minorHAnsi" w:hAnsiTheme="minorHAnsi" w:cs="Arial"/>
                <w:color w:val="333333"/>
                <w:sz w:val="22"/>
                <w:szCs w:val="22"/>
              </w:rPr>
              <w:t>,</w:t>
            </w:r>
            <w:r w:rsidRPr="007B31DC">
              <w:rPr>
                <w:rFonts w:asciiTheme="minorHAnsi" w:hAnsiTheme="minorHAnsi" w:cs="Arial"/>
                <w:color w:val="333333"/>
                <w:sz w:val="22"/>
                <w:szCs w:val="22"/>
              </w:rPr>
              <w:t xml:space="preserve"> with all students growing in confidence and enjoying English more because they feel they are progressing.</w:t>
            </w:r>
          </w:p>
        </w:tc>
      </w:tr>
      <w:tr w:rsidR="005F39EE" w:rsidRPr="00FD0331" w:rsidTr="00F37756">
        <w:tc>
          <w:tcPr>
            <w:tcW w:w="3196" w:type="dxa"/>
            <w:shd w:val="clear" w:color="auto" w:fill="FFFFFF" w:themeFill="background1"/>
            <w:tcMar>
              <w:top w:w="0" w:type="dxa"/>
              <w:left w:w="108" w:type="dxa"/>
              <w:bottom w:w="0" w:type="dxa"/>
              <w:right w:w="108" w:type="dxa"/>
            </w:tcMar>
          </w:tcPr>
          <w:p w:rsidR="005F39EE" w:rsidRPr="00FD0331" w:rsidRDefault="005F39EE" w:rsidP="00245EF8">
            <w:pPr>
              <w:pStyle w:val="NormalWeb"/>
              <w:spacing w:before="0" w:beforeAutospacing="0" w:after="0" w:afterAutospacing="0"/>
              <w:rPr>
                <w:rFonts w:asciiTheme="minorHAnsi" w:hAnsiTheme="minorHAnsi" w:cs="Arial"/>
                <w:color w:val="333333"/>
                <w:sz w:val="22"/>
                <w:szCs w:val="22"/>
              </w:rPr>
            </w:pPr>
            <w:proofErr w:type="spellStart"/>
            <w:r w:rsidRPr="00FD0331">
              <w:rPr>
                <w:rFonts w:asciiTheme="minorHAnsi" w:hAnsiTheme="minorHAnsi" w:cs="Arial"/>
                <w:color w:val="333333"/>
                <w:sz w:val="22"/>
                <w:szCs w:val="22"/>
              </w:rPr>
              <w:t>Lexia</w:t>
            </w:r>
            <w:proofErr w:type="spellEnd"/>
            <w:r w:rsidRPr="00FD0331">
              <w:rPr>
                <w:rFonts w:asciiTheme="minorHAnsi" w:hAnsiTheme="minorHAnsi" w:cs="Arial"/>
                <w:color w:val="333333"/>
                <w:sz w:val="22"/>
                <w:szCs w:val="22"/>
              </w:rPr>
              <w:t xml:space="preserve"> </w:t>
            </w:r>
          </w:p>
        </w:tc>
        <w:tc>
          <w:tcPr>
            <w:tcW w:w="3278" w:type="dxa"/>
            <w:shd w:val="clear" w:color="auto" w:fill="FFFFFF" w:themeFill="background1"/>
            <w:tcMar>
              <w:top w:w="0" w:type="dxa"/>
              <w:left w:w="108" w:type="dxa"/>
              <w:bottom w:w="0" w:type="dxa"/>
              <w:right w:w="108" w:type="dxa"/>
            </w:tcMar>
          </w:tcPr>
          <w:p w:rsidR="005F39EE" w:rsidRPr="00FD0331" w:rsidRDefault="005F39EE" w:rsidP="00245EF8">
            <w:pPr>
              <w:pStyle w:val="NormalWeb"/>
              <w:spacing w:before="0" w:beforeAutospacing="0" w:after="0" w:afterAutospacing="0"/>
              <w:rPr>
                <w:rFonts w:asciiTheme="minorHAnsi" w:hAnsiTheme="minorHAnsi" w:cs="Arial"/>
                <w:color w:val="333333"/>
                <w:sz w:val="22"/>
                <w:szCs w:val="22"/>
              </w:rPr>
            </w:pPr>
            <w:r w:rsidRPr="00FD0331">
              <w:rPr>
                <w:rFonts w:asciiTheme="minorHAnsi" w:hAnsiTheme="minorHAnsi" w:cs="Arial"/>
                <w:color w:val="333333"/>
                <w:sz w:val="22"/>
                <w:szCs w:val="22"/>
              </w:rPr>
              <w:t xml:space="preserve">To provide a platform for students to work independently and with support </w:t>
            </w:r>
          </w:p>
        </w:tc>
        <w:tc>
          <w:tcPr>
            <w:tcW w:w="6817" w:type="dxa"/>
            <w:shd w:val="clear" w:color="auto" w:fill="auto"/>
          </w:tcPr>
          <w:p w:rsidR="007B31DC" w:rsidRPr="005266B4" w:rsidRDefault="00E96DAD" w:rsidP="00245EF8">
            <w:pPr>
              <w:pStyle w:val="NormalWeb"/>
              <w:spacing w:before="0" w:beforeAutospacing="0" w:after="0" w:afterAutospacing="0"/>
              <w:rPr>
                <w:rFonts w:asciiTheme="minorHAnsi" w:hAnsiTheme="minorHAnsi" w:cs="Arial"/>
                <w:color w:val="333333"/>
                <w:sz w:val="22"/>
                <w:szCs w:val="22"/>
              </w:rPr>
            </w:pPr>
            <w:r w:rsidRPr="005266B4">
              <w:rPr>
                <w:rFonts w:asciiTheme="minorHAnsi" w:hAnsiTheme="minorHAnsi" w:cs="Arial"/>
                <w:color w:val="333333"/>
                <w:sz w:val="22"/>
                <w:szCs w:val="22"/>
              </w:rPr>
              <w:t>We anticipate that as well as having an impact on progress it will support students in honing their independent learning skills.</w:t>
            </w:r>
          </w:p>
          <w:p w:rsidR="007B31DC" w:rsidRPr="005266B4" w:rsidRDefault="007B31DC" w:rsidP="007B31DC">
            <w:pPr>
              <w:outlineLvl w:val="0"/>
              <w:rPr>
                <w:rFonts w:eastAsia="Calibri" w:cs="Arial"/>
                <w:color w:val="000000" w:themeColor="text1"/>
              </w:rPr>
            </w:pPr>
            <w:r w:rsidRPr="005266B4">
              <w:rPr>
                <w:rFonts w:eastAsia="Calibri" w:cs="Arial"/>
                <w:color w:val="000000" w:themeColor="text1"/>
              </w:rPr>
              <w:t xml:space="preserve">Use of </w:t>
            </w:r>
            <w:proofErr w:type="spellStart"/>
            <w:r w:rsidRPr="005266B4">
              <w:rPr>
                <w:rFonts w:eastAsia="Calibri" w:cs="Arial"/>
                <w:color w:val="000000" w:themeColor="text1"/>
              </w:rPr>
              <w:t>Lexi</w:t>
            </w:r>
            <w:r w:rsidR="005266B4">
              <w:rPr>
                <w:rFonts w:eastAsia="Calibri" w:cs="Arial"/>
                <w:color w:val="000000" w:themeColor="text1"/>
              </w:rPr>
              <w:t>a</w:t>
            </w:r>
            <w:proofErr w:type="spellEnd"/>
            <w:r w:rsidR="005266B4">
              <w:rPr>
                <w:rFonts w:eastAsia="Calibri" w:cs="Arial"/>
                <w:color w:val="000000" w:themeColor="text1"/>
              </w:rPr>
              <w:t xml:space="preserve"> testing for targeted students.</w:t>
            </w:r>
          </w:p>
          <w:p w:rsidR="005F39EE" w:rsidRPr="005266B4" w:rsidRDefault="005F39EE" w:rsidP="00245EF8">
            <w:pPr>
              <w:pStyle w:val="NormalWeb"/>
              <w:spacing w:before="0" w:beforeAutospacing="0" w:after="0" w:afterAutospacing="0"/>
              <w:rPr>
                <w:rFonts w:asciiTheme="minorHAnsi" w:hAnsiTheme="minorHAnsi" w:cs="Arial"/>
                <w:color w:val="333333"/>
                <w:sz w:val="22"/>
                <w:szCs w:val="22"/>
              </w:rPr>
            </w:pPr>
          </w:p>
        </w:tc>
      </w:tr>
      <w:tr w:rsidR="005F39EE" w:rsidRPr="00FD0331" w:rsidTr="00F37756">
        <w:tc>
          <w:tcPr>
            <w:tcW w:w="3196" w:type="dxa"/>
            <w:shd w:val="clear" w:color="auto" w:fill="FFFFFF" w:themeFill="background1"/>
            <w:tcMar>
              <w:top w:w="0" w:type="dxa"/>
              <w:left w:w="108" w:type="dxa"/>
              <w:bottom w:w="0" w:type="dxa"/>
              <w:right w:w="108" w:type="dxa"/>
            </w:tcMar>
            <w:hideMark/>
          </w:tcPr>
          <w:p w:rsidR="005F39EE" w:rsidRPr="00FD0331" w:rsidRDefault="005F39EE" w:rsidP="00245EF8">
            <w:pPr>
              <w:pStyle w:val="NormalWeb"/>
              <w:spacing w:before="0" w:beforeAutospacing="0" w:after="0" w:afterAutospacing="0"/>
              <w:rPr>
                <w:rFonts w:asciiTheme="minorHAnsi" w:hAnsiTheme="minorHAnsi" w:cs="Arial"/>
                <w:color w:val="333333"/>
                <w:sz w:val="21"/>
                <w:szCs w:val="21"/>
              </w:rPr>
            </w:pPr>
            <w:r w:rsidRPr="00FD0331">
              <w:rPr>
                <w:rFonts w:asciiTheme="minorHAnsi" w:hAnsiTheme="minorHAnsi" w:cs="Arial"/>
                <w:color w:val="333333"/>
                <w:sz w:val="22"/>
                <w:szCs w:val="22"/>
              </w:rPr>
              <w:t>Reading partners programme</w:t>
            </w:r>
          </w:p>
        </w:tc>
        <w:tc>
          <w:tcPr>
            <w:tcW w:w="3278" w:type="dxa"/>
            <w:shd w:val="clear" w:color="auto" w:fill="FFFFFF" w:themeFill="background1"/>
            <w:tcMar>
              <w:top w:w="0" w:type="dxa"/>
              <w:left w:w="108" w:type="dxa"/>
              <w:bottom w:w="0" w:type="dxa"/>
              <w:right w:w="108" w:type="dxa"/>
            </w:tcMar>
            <w:hideMark/>
          </w:tcPr>
          <w:p w:rsidR="005F39EE" w:rsidRPr="00FD0331" w:rsidRDefault="005F39EE" w:rsidP="00245EF8">
            <w:pPr>
              <w:pStyle w:val="NormalWeb"/>
              <w:spacing w:before="0" w:beforeAutospacing="0" w:after="0" w:afterAutospacing="0"/>
              <w:rPr>
                <w:rFonts w:asciiTheme="minorHAnsi" w:hAnsiTheme="minorHAnsi" w:cs="Arial"/>
                <w:color w:val="333333"/>
                <w:sz w:val="21"/>
                <w:szCs w:val="21"/>
              </w:rPr>
            </w:pPr>
            <w:r w:rsidRPr="00FD0331">
              <w:rPr>
                <w:rFonts w:asciiTheme="minorHAnsi" w:hAnsiTheme="minorHAnsi" w:cs="Arial"/>
                <w:color w:val="333333"/>
                <w:sz w:val="22"/>
                <w:szCs w:val="22"/>
              </w:rPr>
              <w:t xml:space="preserve">To </w:t>
            </w:r>
            <w:proofErr w:type="gramStart"/>
            <w:r w:rsidRPr="00FD0331">
              <w:rPr>
                <w:rFonts w:asciiTheme="minorHAnsi" w:hAnsiTheme="minorHAnsi" w:cs="Arial"/>
                <w:color w:val="333333"/>
                <w:sz w:val="22"/>
                <w:szCs w:val="22"/>
              </w:rPr>
              <w:t>raise</w:t>
            </w:r>
            <w:proofErr w:type="gramEnd"/>
            <w:r w:rsidRPr="00FD0331">
              <w:rPr>
                <w:rFonts w:asciiTheme="minorHAnsi" w:hAnsiTheme="minorHAnsi" w:cs="Arial"/>
                <w:color w:val="333333"/>
                <w:sz w:val="22"/>
                <w:szCs w:val="22"/>
              </w:rPr>
              <w:t xml:space="preserve"> reading age, improve vocabulary and encourage reading in KS3.</w:t>
            </w:r>
          </w:p>
        </w:tc>
        <w:tc>
          <w:tcPr>
            <w:tcW w:w="6817" w:type="dxa"/>
            <w:shd w:val="clear" w:color="auto" w:fill="auto"/>
          </w:tcPr>
          <w:p w:rsidR="005F39EE" w:rsidRDefault="00E96DAD" w:rsidP="00E96DAD">
            <w:pPr>
              <w:pStyle w:val="NormalWeb"/>
              <w:spacing w:before="0" w:beforeAutospacing="0" w:after="0" w:afterAutospacing="0"/>
              <w:rPr>
                <w:rFonts w:asciiTheme="minorHAnsi" w:hAnsiTheme="minorHAnsi" w:cs="Arial"/>
                <w:color w:val="333333"/>
                <w:sz w:val="22"/>
                <w:szCs w:val="22"/>
              </w:rPr>
            </w:pPr>
            <w:r>
              <w:rPr>
                <w:rFonts w:asciiTheme="minorHAnsi" w:hAnsiTheme="minorHAnsi" w:cs="Arial"/>
                <w:color w:val="333333"/>
                <w:sz w:val="22"/>
                <w:szCs w:val="22"/>
              </w:rPr>
              <w:t>As t</w:t>
            </w:r>
            <w:r w:rsidRPr="00BE3BC3">
              <w:rPr>
                <w:rFonts w:asciiTheme="minorHAnsi" w:hAnsiTheme="minorHAnsi" w:cs="Arial"/>
                <w:color w:val="333333"/>
                <w:sz w:val="22"/>
                <w:szCs w:val="22"/>
              </w:rPr>
              <w:t>his</w:t>
            </w:r>
            <w:r>
              <w:rPr>
                <w:rFonts w:asciiTheme="minorHAnsi" w:hAnsiTheme="minorHAnsi" w:cs="Arial"/>
                <w:color w:val="333333"/>
                <w:sz w:val="22"/>
                <w:szCs w:val="22"/>
              </w:rPr>
              <w:t xml:space="preserve"> continues to have a</w:t>
            </w:r>
            <w:r w:rsidRPr="00BE3BC3">
              <w:rPr>
                <w:rFonts w:asciiTheme="minorHAnsi" w:hAnsiTheme="minorHAnsi" w:cs="Arial"/>
                <w:color w:val="333333"/>
                <w:sz w:val="22"/>
                <w:szCs w:val="22"/>
              </w:rPr>
              <w:t xml:space="preserve"> quantitative and a qualitative impact on student</w:t>
            </w:r>
            <w:r w:rsidR="005266B4">
              <w:rPr>
                <w:rFonts w:asciiTheme="minorHAnsi" w:hAnsiTheme="minorHAnsi" w:cs="Arial"/>
                <w:color w:val="333333"/>
                <w:sz w:val="22"/>
                <w:szCs w:val="22"/>
              </w:rPr>
              <w:t xml:space="preserve">s in receipt of catch up funding </w:t>
            </w:r>
            <w:r>
              <w:rPr>
                <w:rFonts w:asciiTheme="minorHAnsi" w:hAnsiTheme="minorHAnsi" w:cs="Arial"/>
                <w:color w:val="333333"/>
                <w:sz w:val="22"/>
                <w:szCs w:val="22"/>
              </w:rPr>
              <w:t xml:space="preserve">we will continue to implement it with minor changes only. One change will be to use weaker readers in Year </w:t>
            </w:r>
            <w:r>
              <w:rPr>
                <w:rFonts w:asciiTheme="minorHAnsi" w:hAnsiTheme="minorHAnsi" w:cs="Arial"/>
                <w:color w:val="333333"/>
                <w:sz w:val="22"/>
                <w:szCs w:val="22"/>
              </w:rPr>
              <w:lastRenderedPageBreak/>
              <w:t xml:space="preserve">10 to support the weakest readers in Year 7. This has been proven by research to support those students who are helping as well as those in receipt. We will be looking at using students formerly in receipt of catch up money. </w:t>
            </w:r>
          </w:p>
          <w:p w:rsidR="00F37756" w:rsidRPr="00FD0331" w:rsidRDefault="00F37756" w:rsidP="00E96DAD">
            <w:pPr>
              <w:pStyle w:val="NormalWeb"/>
              <w:spacing w:before="0" w:beforeAutospacing="0" w:after="0" w:afterAutospacing="0"/>
              <w:rPr>
                <w:rFonts w:asciiTheme="minorHAnsi" w:hAnsiTheme="minorHAnsi" w:cs="Arial"/>
                <w:color w:val="333333"/>
                <w:sz w:val="22"/>
                <w:szCs w:val="22"/>
                <w:highlight w:val="yellow"/>
              </w:rPr>
            </w:pPr>
          </w:p>
        </w:tc>
      </w:tr>
      <w:tr w:rsidR="005F39EE" w:rsidRPr="00FD0331" w:rsidTr="00F37756">
        <w:tc>
          <w:tcPr>
            <w:tcW w:w="3196" w:type="dxa"/>
            <w:shd w:val="clear" w:color="auto" w:fill="FFFFFF" w:themeFill="background1"/>
            <w:tcMar>
              <w:top w:w="0" w:type="dxa"/>
              <w:left w:w="108" w:type="dxa"/>
              <w:bottom w:w="0" w:type="dxa"/>
              <w:right w:w="108" w:type="dxa"/>
            </w:tcMar>
            <w:hideMark/>
          </w:tcPr>
          <w:p w:rsidR="005F39EE" w:rsidRPr="00FD0331" w:rsidRDefault="005F39EE" w:rsidP="00245EF8">
            <w:pPr>
              <w:pStyle w:val="NormalWeb"/>
              <w:spacing w:before="0" w:beforeAutospacing="0" w:after="0" w:afterAutospacing="0"/>
              <w:rPr>
                <w:rFonts w:asciiTheme="minorHAnsi" w:hAnsiTheme="minorHAnsi" w:cs="Arial"/>
                <w:color w:val="333333"/>
                <w:sz w:val="21"/>
                <w:szCs w:val="21"/>
              </w:rPr>
            </w:pPr>
            <w:r w:rsidRPr="00FD0331">
              <w:rPr>
                <w:rFonts w:asciiTheme="minorHAnsi" w:hAnsiTheme="minorHAnsi" w:cs="Arial"/>
                <w:color w:val="333333"/>
                <w:sz w:val="22"/>
                <w:szCs w:val="22"/>
              </w:rPr>
              <w:lastRenderedPageBreak/>
              <w:t>Star Reader</w:t>
            </w:r>
          </w:p>
        </w:tc>
        <w:tc>
          <w:tcPr>
            <w:tcW w:w="3278" w:type="dxa"/>
            <w:tcBorders>
              <w:bottom w:val="single" w:sz="8" w:space="0" w:color="auto"/>
            </w:tcBorders>
            <w:shd w:val="clear" w:color="auto" w:fill="FFFFFF" w:themeFill="background1"/>
            <w:tcMar>
              <w:top w:w="0" w:type="dxa"/>
              <w:left w:w="108" w:type="dxa"/>
              <w:bottom w:w="0" w:type="dxa"/>
              <w:right w:w="108" w:type="dxa"/>
            </w:tcMar>
            <w:hideMark/>
          </w:tcPr>
          <w:p w:rsidR="005F39EE" w:rsidRPr="00FD0331" w:rsidRDefault="005F39EE" w:rsidP="00245EF8">
            <w:pPr>
              <w:pStyle w:val="NormalWeb"/>
              <w:spacing w:before="0" w:beforeAutospacing="0" w:after="0" w:afterAutospacing="0"/>
              <w:rPr>
                <w:rFonts w:asciiTheme="minorHAnsi" w:hAnsiTheme="minorHAnsi" w:cs="Arial"/>
                <w:color w:val="333333"/>
                <w:sz w:val="21"/>
                <w:szCs w:val="21"/>
              </w:rPr>
            </w:pPr>
            <w:r w:rsidRPr="00FD0331">
              <w:rPr>
                <w:rFonts w:asciiTheme="minorHAnsi" w:hAnsiTheme="minorHAnsi" w:cs="Arial"/>
                <w:color w:val="333333"/>
                <w:sz w:val="22"/>
                <w:szCs w:val="22"/>
              </w:rPr>
              <w:t>To identify and act upon student weaknesses.  Star reading reports and suggested skills.</w:t>
            </w:r>
          </w:p>
        </w:tc>
        <w:tc>
          <w:tcPr>
            <w:tcW w:w="6817" w:type="dxa"/>
            <w:shd w:val="clear" w:color="auto" w:fill="auto"/>
          </w:tcPr>
          <w:p w:rsidR="007B31DC" w:rsidRPr="007D6DF1" w:rsidRDefault="007B31DC" w:rsidP="007B31DC">
            <w:pPr>
              <w:outlineLvl w:val="0"/>
              <w:rPr>
                <w:rFonts w:eastAsia="Calibri" w:cs="Arial"/>
                <w:color w:val="000000" w:themeColor="text1"/>
              </w:rPr>
            </w:pPr>
            <w:r w:rsidRPr="007D6DF1">
              <w:rPr>
                <w:rFonts w:eastAsia="Calibri" w:cs="Arial"/>
                <w:color w:val="000000" w:themeColor="text1"/>
              </w:rPr>
              <w:t xml:space="preserve">This year we will use SMHW tests/quizzes on key reading skills at start and end of each term to assess impact on specific reading skills as analysed as a point of weakness based on KS2 tests </w:t>
            </w:r>
          </w:p>
          <w:p w:rsidR="00F37756" w:rsidRDefault="007B31DC" w:rsidP="00F37756">
            <w:pPr>
              <w:outlineLvl w:val="0"/>
              <w:rPr>
                <w:rFonts w:eastAsia="Calibri" w:cs="Arial"/>
                <w:color w:val="000000" w:themeColor="text1"/>
              </w:rPr>
            </w:pPr>
            <w:r w:rsidRPr="007D6DF1">
              <w:rPr>
                <w:rFonts w:eastAsia="Calibri" w:cs="Arial"/>
                <w:color w:val="000000" w:themeColor="text1"/>
              </w:rPr>
              <w:t>Testing reading at KS3 – this is currently being implemented using SMHW</w:t>
            </w:r>
            <w:r w:rsidR="00F37756">
              <w:rPr>
                <w:rFonts w:eastAsia="Calibri" w:cs="Arial"/>
                <w:color w:val="000000" w:themeColor="text1"/>
              </w:rPr>
              <w:t>.</w:t>
            </w:r>
          </w:p>
          <w:p w:rsidR="005F39EE" w:rsidRPr="00F37756" w:rsidRDefault="007B31DC" w:rsidP="00F37756">
            <w:pPr>
              <w:outlineLvl w:val="0"/>
              <w:rPr>
                <w:rFonts w:eastAsia="Calibri" w:cs="Arial"/>
                <w:color w:val="000000" w:themeColor="text1"/>
              </w:rPr>
            </w:pPr>
            <w:r w:rsidRPr="007D6DF1">
              <w:rPr>
                <w:rFonts w:eastAsia="Calibri" w:cs="Arial"/>
                <w:color w:val="000000" w:themeColor="text1"/>
              </w:rPr>
              <w:t xml:space="preserve"> </w:t>
            </w:r>
          </w:p>
        </w:tc>
      </w:tr>
      <w:tr w:rsidR="00FD0331" w:rsidRPr="00FD0331" w:rsidTr="00F37756">
        <w:tc>
          <w:tcPr>
            <w:tcW w:w="3196" w:type="dxa"/>
            <w:shd w:val="clear" w:color="auto" w:fill="FFFFFF" w:themeFill="background1"/>
            <w:tcMar>
              <w:top w:w="0" w:type="dxa"/>
              <w:left w:w="108" w:type="dxa"/>
              <w:bottom w:w="0" w:type="dxa"/>
              <w:right w:w="108" w:type="dxa"/>
            </w:tcMar>
          </w:tcPr>
          <w:p w:rsidR="00FD0331" w:rsidRDefault="00FD0331" w:rsidP="00FD0331">
            <w:pPr>
              <w:outlineLvl w:val="0"/>
              <w:rPr>
                <w:rFonts w:cs="Arial"/>
                <w:color w:val="333333"/>
              </w:rPr>
            </w:pPr>
            <w:r>
              <w:rPr>
                <w:rFonts w:cs="Arial"/>
                <w:color w:val="333333"/>
              </w:rPr>
              <w:t xml:space="preserve">New resources to include; </w:t>
            </w:r>
          </w:p>
          <w:p w:rsidR="00FD0331" w:rsidRPr="00FD0331" w:rsidRDefault="00FD0331" w:rsidP="00FD0331">
            <w:pPr>
              <w:outlineLvl w:val="0"/>
              <w:rPr>
                <w:rFonts w:cs="Arial"/>
                <w:color w:val="333333"/>
              </w:rPr>
            </w:pPr>
            <w:r>
              <w:rPr>
                <w:rFonts w:asciiTheme="majorHAnsi" w:eastAsia="Calibri" w:hAnsiTheme="majorHAnsi" w:cs="Arial"/>
                <w:color w:val="000000" w:themeColor="text1"/>
              </w:rPr>
              <w:t>New texts for Year 7,</w:t>
            </w:r>
            <w:r w:rsidRPr="00FD0331">
              <w:rPr>
                <w:rFonts w:asciiTheme="majorHAnsi" w:eastAsia="Calibri" w:hAnsiTheme="majorHAnsi" w:cs="Arial"/>
                <w:color w:val="000000" w:themeColor="text1"/>
              </w:rPr>
              <w:t>Thesauri – Oxford or Roget</w:t>
            </w:r>
            <w:r>
              <w:rPr>
                <w:rFonts w:asciiTheme="majorHAnsi" w:eastAsia="Calibri" w:hAnsiTheme="majorHAnsi" w:cs="Arial"/>
                <w:color w:val="000000" w:themeColor="text1"/>
              </w:rPr>
              <w:t xml:space="preserve"> and games to promote literacy skills</w:t>
            </w:r>
          </w:p>
        </w:tc>
        <w:tc>
          <w:tcPr>
            <w:tcW w:w="3278" w:type="dxa"/>
            <w:shd w:val="clear" w:color="auto" w:fill="auto"/>
            <w:tcMar>
              <w:top w:w="0" w:type="dxa"/>
              <w:left w:w="108" w:type="dxa"/>
              <w:bottom w:w="0" w:type="dxa"/>
              <w:right w:w="108" w:type="dxa"/>
            </w:tcMar>
          </w:tcPr>
          <w:p w:rsidR="00FD0331" w:rsidRPr="007B31DC" w:rsidRDefault="007B31DC" w:rsidP="00FD0331">
            <w:pPr>
              <w:outlineLvl w:val="0"/>
              <w:rPr>
                <w:rFonts w:cs="Arial"/>
                <w:color w:val="333333"/>
              </w:rPr>
            </w:pPr>
            <w:r w:rsidRPr="007B31DC">
              <w:rPr>
                <w:rFonts w:cs="Arial"/>
                <w:color w:val="333333"/>
              </w:rPr>
              <w:t xml:space="preserve">To improve and promote the importance of reading skills and levels of vocabulary </w:t>
            </w:r>
          </w:p>
        </w:tc>
        <w:tc>
          <w:tcPr>
            <w:tcW w:w="6817" w:type="dxa"/>
            <w:shd w:val="clear" w:color="auto" w:fill="auto"/>
          </w:tcPr>
          <w:p w:rsidR="007B31DC" w:rsidRPr="00073ED9" w:rsidRDefault="007B31DC" w:rsidP="007B31DC">
            <w:pPr>
              <w:ind w:left="-6"/>
              <w:outlineLvl w:val="0"/>
              <w:rPr>
                <w:rFonts w:eastAsia="Calibri" w:cs="Arial"/>
                <w:b/>
                <w:color w:val="000000" w:themeColor="text1"/>
              </w:rPr>
            </w:pPr>
            <w:r w:rsidRPr="00073ED9">
              <w:rPr>
                <w:rFonts w:eastAsia="Calibri" w:cs="Arial"/>
                <w:color w:val="000000" w:themeColor="text1"/>
              </w:rPr>
              <w:t>The skills areas lacking based on a review of KS2 against</w:t>
            </w:r>
            <w:r w:rsidRPr="00073ED9">
              <w:rPr>
                <w:rFonts w:eastAsia="Calibri" w:cs="Arial"/>
                <w:b/>
                <w:color w:val="000000" w:themeColor="text1"/>
              </w:rPr>
              <w:t xml:space="preserve"> </w:t>
            </w:r>
            <w:r w:rsidRPr="00073ED9">
              <w:rPr>
                <w:rFonts w:eastAsia="Calibri" w:cs="Arial"/>
                <w:color w:val="000000" w:themeColor="text1"/>
              </w:rPr>
              <w:t>national data were</w:t>
            </w:r>
            <w:r w:rsidR="008B3E79">
              <w:rPr>
                <w:rFonts w:eastAsia="Calibri" w:cs="Arial"/>
                <w:color w:val="000000" w:themeColor="text1"/>
              </w:rPr>
              <w:t>:</w:t>
            </w:r>
          </w:p>
          <w:p w:rsidR="007B31DC" w:rsidRPr="00073ED9" w:rsidRDefault="007B31DC" w:rsidP="007B31DC">
            <w:pPr>
              <w:ind w:left="-6"/>
              <w:outlineLvl w:val="0"/>
              <w:rPr>
                <w:rFonts w:eastAsia="Calibri" w:cs="Arial"/>
                <w:color w:val="000000" w:themeColor="text1"/>
              </w:rPr>
            </w:pPr>
            <w:r w:rsidRPr="00073ED9">
              <w:rPr>
                <w:rFonts w:eastAsia="Calibri" w:cs="Arial"/>
                <w:color w:val="000000" w:themeColor="text1"/>
              </w:rPr>
              <w:t>1.The meaning of words in context</w:t>
            </w:r>
          </w:p>
          <w:p w:rsidR="007B31DC" w:rsidRPr="00073ED9" w:rsidRDefault="007B31DC" w:rsidP="007B31DC">
            <w:pPr>
              <w:ind w:left="-6"/>
              <w:outlineLvl w:val="0"/>
              <w:rPr>
                <w:rFonts w:eastAsia="Calibri" w:cs="Arial"/>
                <w:color w:val="000000" w:themeColor="text1"/>
              </w:rPr>
            </w:pPr>
            <w:r w:rsidRPr="00073ED9">
              <w:rPr>
                <w:rFonts w:eastAsia="Calibri" w:cs="Arial"/>
                <w:color w:val="000000" w:themeColor="text1"/>
              </w:rPr>
              <w:t xml:space="preserve">2.Retrieve information/key details </w:t>
            </w:r>
          </w:p>
          <w:p w:rsidR="007B31DC" w:rsidRPr="00073ED9" w:rsidRDefault="007B31DC" w:rsidP="007B31DC">
            <w:pPr>
              <w:ind w:left="-6"/>
              <w:outlineLvl w:val="0"/>
              <w:rPr>
                <w:rFonts w:eastAsia="Calibri" w:cs="Arial"/>
                <w:color w:val="000000" w:themeColor="text1"/>
              </w:rPr>
            </w:pPr>
            <w:r w:rsidRPr="00073ED9">
              <w:rPr>
                <w:rFonts w:eastAsia="Calibri" w:cs="Arial"/>
                <w:color w:val="000000" w:themeColor="text1"/>
              </w:rPr>
              <w:t>3.Make inferences</w:t>
            </w:r>
          </w:p>
          <w:p w:rsidR="007B31DC" w:rsidRPr="00073ED9" w:rsidRDefault="007B31DC" w:rsidP="007B31DC">
            <w:pPr>
              <w:ind w:left="-6"/>
              <w:outlineLvl w:val="0"/>
              <w:rPr>
                <w:rFonts w:eastAsia="Calibri" w:cs="Arial"/>
                <w:color w:val="000000" w:themeColor="text1"/>
              </w:rPr>
            </w:pPr>
            <w:r w:rsidRPr="00073ED9">
              <w:rPr>
                <w:rFonts w:eastAsia="Calibri" w:cs="Arial"/>
                <w:color w:val="000000" w:themeColor="text1"/>
              </w:rPr>
              <w:t xml:space="preserve">4.Justify </w:t>
            </w:r>
          </w:p>
          <w:p w:rsidR="007B31DC" w:rsidRPr="00073ED9" w:rsidRDefault="007B31DC" w:rsidP="007B31DC">
            <w:pPr>
              <w:ind w:left="-5"/>
              <w:outlineLvl w:val="0"/>
              <w:rPr>
                <w:rFonts w:eastAsia="Calibri" w:cs="Arial"/>
                <w:color w:val="000000" w:themeColor="text1"/>
              </w:rPr>
            </w:pPr>
            <w:r w:rsidRPr="00073ED9">
              <w:rPr>
                <w:rFonts w:eastAsia="Calibri" w:cs="Arial"/>
                <w:color w:val="000000" w:themeColor="text1"/>
              </w:rPr>
              <w:t xml:space="preserve">5.Explain how word choices enhance meaning  </w:t>
            </w:r>
          </w:p>
          <w:p w:rsidR="00FD0331" w:rsidRDefault="007B31DC" w:rsidP="00245EF8">
            <w:pPr>
              <w:pStyle w:val="NormalWeb"/>
              <w:spacing w:before="0" w:beforeAutospacing="0" w:after="0" w:afterAutospacing="0"/>
              <w:rPr>
                <w:rFonts w:asciiTheme="minorHAnsi" w:hAnsiTheme="minorHAnsi" w:cs="Arial"/>
                <w:color w:val="333333"/>
                <w:sz w:val="22"/>
                <w:szCs w:val="22"/>
              </w:rPr>
            </w:pPr>
            <w:r w:rsidRPr="007B31DC">
              <w:rPr>
                <w:rFonts w:asciiTheme="minorHAnsi" w:hAnsiTheme="minorHAnsi" w:cs="Arial"/>
                <w:color w:val="333333"/>
                <w:sz w:val="22"/>
                <w:szCs w:val="22"/>
              </w:rPr>
              <w:t xml:space="preserve">By using these resources we anticipate an improvement in catch up funding students’ abilities in these areas. </w:t>
            </w:r>
          </w:p>
          <w:p w:rsidR="00F37756" w:rsidRPr="00FD0331" w:rsidRDefault="00F37756" w:rsidP="00245EF8">
            <w:pPr>
              <w:pStyle w:val="NormalWeb"/>
              <w:spacing w:before="0" w:beforeAutospacing="0" w:after="0" w:afterAutospacing="0"/>
              <w:rPr>
                <w:rFonts w:asciiTheme="minorHAnsi" w:hAnsiTheme="minorHAnsi" w:cs="Arial"/>
                <w:color w:val="333333"/>
                <w:sz w:val="22"/>
                <w:szCs w:val="22"/>
                <w:highlight w:val="yellow"/>
              </w:rPr>
            </w:pPr>
          </w:p>
        </w:tc>
      </w:tr>
      <w:tr w:rsidR="007B31DC" w:rsidRPr="00FD0331" w:rsidTr="00F37756">
        <w:tc>
          <w:tcPr>
            <w:tcW w:w="3196" w:type="dxa"/>
            <w:shd w:val="clear" w:color="auto" w:fill="FFFFFF" w:themeFill="background1"/>
            <w:tcMar>
              <w:top w:w="0" w:type="dxa"/>
              <w:left w:w="108" w:type="dxa"/>
              <w:bottom w:w="0" w:type="dxa"/>
              <w:right w:w="108" w:type="dxa"/>
            </w:tcMar>
          </w:tcPr>
          <w:p w:rsidR="007B31DC" w:rsidRDefault="007B31DC" w:rsidP="00FD0331">
            <w:pPr>
              <w:outlineLvl w:val="0"/>
              <w:rPr>
                <w:rFonts w:cs="Arial"/>
                <w:color w:val="333333"/>
              </w:rPr>
            </w:pPr>
            <w:r>
              <w:rPr>
                <w:rFonts w:cs="Arial"/>
                <w:color w:val="333333"/>
              </w:rPr>
              <w:t xml:space="preserve">Narrowing the Vocabulary GAP </w:t>
            </w:r>
          </w:p>
        </w:tc>
        <w:tc>
          <w:tcPr>
            <w:tcW w:w="3278" w:type="dxa"/>
            <w:shd w:val="clear" w:color="auto" w:fill="auto"/>
            <w:tcMar>
              <w:top w:w="0" w:type="dxa"/>
              <w:left w:w="108" w:type="dxa"/>
              <w:bottom w:w="0" w:type="dxa"/>
              <w:right w:w="108" w:type="dxa"/>
            </w:tcMar>
          </w:tcPr>
          <w:p w:rsidR="007B31DC" w:rsidRDefault="007B31DC" w:rsidP="00FD0331">
            <w:pPr>
              <w:outlineLvl w:val="0"/>
              <w:rPr>
                <w:rFonts w:cs="Arial"/>
                <w:color w:val="333333"/>
              </w:rPr>
            </w:pPr>
            <w:r w:rsidRPr="007B31DC">
              <w:rPr>
                <w:rFonts w:cs="Arial"/>
                <w:color w:val="333333"/>
              </w:rPr>
              <w:t xml:space="preserve">A whole school focus targeting the levels of vocabulary and students’ ability to contextualise </w:t>
            </w:r>
          </w:p>
          <w:p w:rsidR="00DE6AEF" w:rsidRPr="007B31DC" w:rsidRDefault="00DE6AEF" w:rsidP="00FD0331">
            <w:pPr>
              <w:outlineLvl w:val="0"/>
              <w:rPr>
                <w:rFonts w:cs="Arial"/>
                <w:color w:val="333333"/>
              </w:rPr>
            </w:pPr>
            <w:r>
              <w:rPr>
                <w:rFonts w:cs="Arial"/>
                <w:color w:val="333333"/>
              </w:rPr>
              <w:t>Whilst this is targeted at all students the aim is to have a significant effect on the benchmark students.</w:t>
            </w:r>
          </w:p>
        </w:tc>
        <w:tc>
          <w:tcPr>
            <w:tcW w:w="6817" w:type="dxa"/>
            <w:shd w:val="clear" w:color="auto" w:fill="auto"/>
          </w:tcPr>
          <w:p w:rsidR="007B31DC" w:rsidRPr="00073ED9" w:rsidRDefault="007B31DC" w:rsidP="007B31DC">
            <w:pPr>
              <w:ind w:left="-6"/>
              <w:outlineLvl w:val="0"/>
              <w:rPr>
                <w:rFonts w:eastAsia="Calibri" w:cs="Arial"/>
                <w:color w:val="000000" w:themeColor="text1"/>
              </w:rPr>
            </w:pPr>
            <w:r w:rsidRPr="00073ED9">
              <w:rPr>
                <w:rFonts w:eastAsia="Calibri" w:cs="Arial"/>
                <w:color w:val="000000" w:themeColor="text1"/>
              </w:rPr>
              <w:t xml:space="preserve">As we are focussing on the skills that have prevented catch up funding students achieving the benchmark we anticipate this having an impact on progress in these areas and confidence. The aforementioned testing will enable us to monitor specific areas. We also provide a weekly quiz on SMHW which enable us to monitor progress. There will also be tests specifically tailored to the needs of these students. These will not only allow us to monitor progress but to also support with developing these students’ abilities to manage tests/exams. </w:t>
            </w:r>
          </w:p>
        </w:tc>
      </w:tr>
    </w:tbl>
    <w:p w:rsidR="005F39EE" w:rsidRDefault="005F39EE" w:rsidP="00AE7C1C">
      <w:pPr>
        <w:spacing w:after="240"/>
        <w:ind w:left="-5"/>
        <w:outlineLvl w:val="0"/>
        <w:rPr>
          <w:rFonts w:eastAsia="Calibri" w:cs="Arial"/>
          <w:b/>
          <w:color w:val="FF1F64"/>
          <w:sz w:val="36"/>
          <w:szCs w:val="36"/>
        </w:rPr>
      </w:pPr>
    </w:p>
    <w:p w:rsidR="00F37756" w:rsidRDefault="00F37756" w:rsidP="00E12B03">
      <w:pPr>
        <w:spacing w:after="240"/>
        <w:outlineLvl w:val="0"/>
        <w:rPr>
          <w:rFonts w:eastAsia="Calibri" w:cs="Arial"/>
          <w:b/>
          <w:color w:val="FF1F64"/>
          <w:sz w:val="36"/>
          <w:szCs w:val="36"/>
        </w:rPr>
      </w:pPr>
    </w:p>
    <w:p w:rsidR="00F37756" w:rsidRDefault="00F37756" w:rsidP="00E12B03">
      <w:pPr>
        <w:spacing w:after="240"/>
        <w:outlineLvl w:val="0"/>
        <w:rPr>
          <w:rFonts w:eastAsia="Calibri" w:cs="Arial"/>
          <w:b/>
          <w:color w:val="FF1F64"/>
          <w:sz w:val="36"/>
          <w:szCs w:val="36"/>
        </w:rPr>
      </w:pPr>
    </w:p>
    <w:p w:rsidR="005F39EE" w:rsidRPr="00FD0331" w:rsidRDefault="005F39EE" w:rsidP="00E12B03">
      <w:pPr>
        <w:spacing w:after="240"/>
        <w:outlineLvl w:val="0"/>
        <w:rPr>
          <w:rFonts w:eastAsia="Calibri" w:cs="Arial"/>
          <w:b/>
          <w:color w:val="FF1F64"/>
          <w:sz w:val="36"/>
          <w:szCs w:val="36"/>
        </w:rPr>
      </w:pPr>
      <w:bookmarkStart w:id="0" w:name="_GoBack"/>
      <w:bookmarkEnd w:id="0"/>
      <w:r w:rsidRPr="00FD0331">
        <w:rPr>
          <w:rFonts w:eastAsia="Calibri" w:cs="Arial"/>
          <w:b/>
          <w:color w:val="FF1F64"/>
          <w:sz w:val="36"/>
          <w:szCs w:val="36"/>
        </w:rPr>
        <w:lastRenderedPageBreak/>
        <w:t xml:space="preserve">Mathematics </w:t>
      </w:r>
    </w:p>
    <w:p w:rsidR="005F39EE" w:rsidRDefault="005F39EE" w:rsidP="00E12B03">
      <w:pPr>
        <w:spacing w:after="240"/>
        <w:ind w:left="-5"/>
        <w:jc w:val="both"/>
        <w:outlineLvl w:val="0"/>
        <w:rPr>
          <w:rFonts w:eastAsia="Calibri" w:cs="Arial"/>
          <w:sz w:val="24"/>
        </w:rPr>
      </w:pPr>
      <w:r w:rsidRPr="00FD0331">
        <w:rPr>
          <w:rFonts w:eastAsia="Calibri" w:cs="Arial"/>
          <w:sz w:val="24"/>
        </w:rPr>
        <w:t>Assessment – The areas of weakness for the students who are below the 100 benchmark for mathematics will be analysed using the Question Level Analysis provided by the Department of Education. This data highlights strands of the curriculum that pupils need support through interventions. Progress on these strands and the impact of interventions will be monitored through the use of SATS papers throughout the academic year.</w:t>
      </w:r>
    </w:p>
    <w:p w:rsidR="00FD0331" w:rsidRPr="00FD0331" w:rsidRDefault="00FD0331" w:rsidP="00E12B03">
      <w:pPr>
        <w:spacing w:after="240"/>
        <w:jc w:val="both"/>
        <w:outlineLvl w:val="0"/>
        <w:rPr>
          <w:rFonts w:eastAsia="Calibri" w:cs="Arial"/>
          <w:color w:val="000000" w:themeColor="text1"/>
          <w:sz w:val="24"/>
        </w:rPr>
      </w:pPr>
      <w:r w:rsidRPr="00FD0331">
        <w:rPr>
          <w:rFonts w:eastAsia="Calibri" w:cs="Arial"/>
          <w:color w:val="000000" w:themeColor="text1"/>
          <w:sz w:val="24"/>
        </w:rPr>
        <w:t xml:space="preserve">Strategies will then be used to support individuals who fall below the 100 benchmark in the Key Stage 2 examinations, this includes support inside and outside of the classroom, additional resources to support learning such as electronic programmes and texts. </w:t>
      </w:r>
    </w:p>
    <w:p w:rsidR="00FD0331" w:rsidRPr="00FD0331" w:rsidRDefault="00FD0331" w:rsidP="005F39EE">
      <w:pPr>
        <w:spacing w:after="240"/>
        <w:ind w:left="-5"/>
        <w:outlineLvl w:val="0"/>
        <w:rPr>
          <w:rFonts w:eastAsia="Calibri" w:cs="Arial"/>
          <w:sz w:val="24"/>
        </w:rPr>
      </w:pPr>
    </w:p>
    <w:tbl>
      <w:tblPr>
        <w:tblW w:w="132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CF0F1"/>
        <w:tblCellMar>
          <w:top w:w="15" w:type="dxa"/>
          <w:left w:w="15" w:type="dxa"/>
          <w:bottom w:w="15" w:type="dxa"/>
          <w:right w:w="15" w:type="dxa"/>
        </w:tblCellMar>
        <w:tblLook w:val="04A0" w:firstRow="1" w:lastRow="0" w:firstColumn="1" w:lastColumn="0" w:noHBand="0" w:noVBand="1"/>
      </w:tblPr>
      <w:tblGrid>
        <w:gridCol w:w="3196"/>
        <w:gridCol w:w="3278"/>
        <w:gridCol w:w="6817"/>
      </w:tblGrid>
      <w:tr w:rsidR="005F39EE" w:rsidRPr="00FD0331" w:rsidTr="00F37756">
        <w:trPr>
          <w:trHeight w:val="619"/>
        </w:trPr>
        <w:tc>
          <w:tcPr>
            <w:tcW w:w="3196" w:type="dxa"/>
            <w:shd w:val="clear" w:color="auto" w:fill="ECF0F1"/>
            <w:tcMar>
              <w:top w:w="0" w:type="dxa"/>
              <w:left w:w="108" w:type="dxa"/>
              <w:bottom w:w="0" w:type="dxa"/>
              <w:right w:w="108" w:type="dxa"/>
            </w:tcMar>
          </w:tcPr>
          <w:p w:rsidR="005F39EE" w:rsidRPr="00FD0331" w:rsidRDefault="005F39EE" w:rsidP="00245EF8">
            <w:pPr>
              <w:spacing w:after="240"/>
              <w:ind w:left="-5"/>
              <w:outlineLvl w:val="0"/>
              <w:rPr>
                <w:rFonts w:eastAsia="Calibri" w:cs="Arial"/>
                <w:b/>
                <w:color w:val="FF1F64"/>
                <w:sz w:val="36"/>
                <w:szCs w:val="36"/>
              </w:rPr>
            </w:pPr>
            <w:r w:rsidRPr="00FD0331">
              <w:rPr>
                <w:rFonts w:eastAsia="Calibri" w:cs="Arial"/>
                <w:b/>
                <w:color w:val="FF1F64"/>
                <w:sz w:val="36"/>
                <w:szCs w:val="36"/>
              </w:rPr>
              <w:t>Method</w:t>
            </w:r>
          </w:p>
        </w:tc>
        <w:tc>
          <w:tcPr>
            <w:tcW w:w="3278" w:type="dxa"/>
            <w:shd w:val="clear" w:color="auto" w:fill="ECF0F1"/>
            <w:tcMar>
              <w:top w:w="0" w:type="dxa"/>
              <w:left w:w="108" w:type="dxa"/>
              <w:bottom w:w="0" w:type="dxa"/>
              <w:right w:w="108" w:type="dxa"/>
            </w:tcMar>
          </w:tcPr>
          <w:p w:rsidR="005F39EE" w:rsidRPr="00FD0331" w:rsidRDefault="005F39EE" w:rsidP="00245EF8">
            <w:pPr>
              <w:spacing w:after="240"/>
              <w:ind w:left="-5"/>
              <w:outlineLvl w:val="0"/>
              <w:rPr>
                <w:rFonts w:eastAsia="Calibri" w:cs="Arial"/>
                <w:b/>
                <w:color w:val="FF1F64"/>
                <w:sz w:val="36"/>
                <w:szCs w:val="36"/>
              </w:rPr>
            </w:pPr>
            <w:r w:rsidRPr="00FD0331">
              <w:rPr>
                <w:rFonts w:eastAsia="Calibri" w:cs="Arial"/>
                <w:b/>
                <w:color w:val="FF1F64"/>
                <w:sz w:val="36"/>
                <w:szCs w:val="36"/>
              </w:rPr>
              <w:t>Aim</w:t>
            </w:r>
          </w:p>
          <w:p w:rsidR="005F39EE" w:rsidRPr="00FD0331" w:rsidRDefault="005F39EE" w:rsidP="00245EF8">
            <w:pPr>
              <w:pStyle w:val="NormalWeb"/>
              <w:spacing w:before="0" w:beforeAutospacing="0" w:after="0" w:afterAutospacing="0"/>
              <w:rPr>
                <w:rFonts w:asciiTheme="minorHAnsi" w:hAnsiTheme="minorHAnsi" w:cs="Arial"/>
                <w:b/>
                <w:color w:val="FF00FF"/>
                <w:sz w:val="22"/>
                <w:szCs w:val="22"/>
              </w:rPr>
            </w:pPr>
          </w:p>
        </w:tc>
        <w:tc>
          <w:tcPr>
            <w:tcW w:w="6817" w:type="dxa"/>
            <w:shd w:val="clear" w:color="auto" w:fill="ECF0F1"/>
          </w:tcPr>
          <w:p w:rsidR="005F39EE" w:rsidRPr="00FD0331" w:rsidRDefault="005F39EE" w:rsidP="00245EF8">
            <w:pPr>
              <w:spacing w:after="240"/>
              <w:ind w:left="-5"/>
              <w:outlineLvl w:val="0"/>
              <w:rPr>
                <w:rFonts w:eastAsia="Calibri" w:cs="Arial"/>
                <w:b/>
                <w:color w:val="FF1F64"/>
                <w:sz w:val="36"/>
                <w:szCs w:val="36"/>
              </w:rPr>
            </w:pPr>
            <w:r w:rsidRPr="00FD0331">
              <w:rPr>
                <w:rFonts w:eastAsia="Calibri" w:cs="Arial"/>
                <w:b/>
                <w:color w:val="FF1F64"/>
                <w:sz w:val="36"/>
                <w:szCs w:val="36"/>
              </w:rPr>
              <w:t xml:space="preserve">Intended Impact </w:t>
            </w:r>
          </w:p>
          <w:p w:rsidR="005F39EE" w:rsidRPr="00FD0331" w:rsidRDefault="005F39EE" w:rsidP="00245EF8">
            <w:pPr>
              <w:pStyle w:val="NormalWeb"/>
              <w:spacing w:before="0" w:beforeAutospacing="0" w:after="0" w:afterAutospacing="0"/>
              <w:rPr>
                <w:rFonts w:asciiTheme="minorHAnsi" w:hAnsiTheme="minorHAnsi" w:cs="Arial"/>
                <w:b/>
                <w:color w:val="FF00FF"/>
                <w:sz w:val="22"/>
                <w:szCs w:val="22"/>
              </w:rPr>
            </w:pPr>
          </w:p>
        </w:tc>
      </w:tr>
      <w:tr w:rsidR="005F39EE" w:rsidRPr="00226A0E" w:rsidTr="00F37756">
        <w:trPr>
          <w:trHeight w:val="2027"/>
        </w:trPr>
        <w:tc>
          <w:tcPr>
            <w:tcW w:w="3196" w:type="dxa"/>
            <w:shd w:val="clear" w:color="auto" w:fill="FFFFFF" w:themeFill="background1"/>
            <w:tcMar>
              <w:top w:w="0" w:type="dxa"/>
              <w:left w:w="108" w:type="dxa"/>
              <w:bottom w:w="0" w:type="dxa"/>
              <w:right w:w="108" w:type="dxa"/>
            </w:tcMar>
          </w:tcPr>
          <w:p w:rsidR="005F39EE" w:rsidRPr="00226A0E" w:rsidRDefault="005F39EE" w:rsidP="00245EF8">
            <w:pPr>
              <w:pStyle w:val="NormalWeb"/>
              <w:spacing w:before="0" w:beforeAutospacing="0" w:after="0" w:afterAutospacing="0"/>
              <w:rPr>
                <w:rFonts w:asciiTheme="minorHAnsi" w:hAnsiTheme="minorHAnsi" w:cs="Arial"/>
                <w:sz w:val="22"/>
                <w:szCs w:val="22"/>
              </w:rPr>
            </w:pPr>
            <w:r w:rsidRPr="00226A0E">
              <w:rPr>
                <w:rFonts w:asciiTheme="minorHAnsi" w:hAnsiTheme="minorHAnsi" w:cs="Arial"/>
                <w:sz w:val="22"/>
                <w:szCs w:val="22"/>
              </w:rPr>
              <w:t xml:space="preserve">Peer Mentoring from KS4 students </w:t>
            </w:r>
          </w:p>
        </w:tc>
        <w:tc>
          <w:tcPr>
            <w:tcW w:w="3278" w:type="dxa"/>
            <w:shd w:val="clear" w:color="auto" w:fill="FFFFFF" w:themeFill="background1"/>
            <w:tcMar>
              <w:top w:w="0" w:type="dxa"/>
              <w:left w:w="108" w:type="dxa"/>
              <w:bottom w:w="0" w:type="dxa"/>
              <w:right w:w="108" w:type="dxa"/>
            </w:tcMar>
          </w:tcPr>
          <w:p w:rsidR="005F39EE" w:rsidRPr="00F37756" w:rsidRDefault="005F39EE" w:rsidP="00F37756">
            <w:pPr>
              <w:spacing w:after="240"/>
              <w:outlineLvl w:val="0"/>
              <w:rPr>
                <w:rFonts w:eastAsia="Calibri" w:cs="Arial"/>
              </w:rPr>
            </w:pPr>
            <w:r w:rsidRPr="00226A0E">
              <w:rPr>
                <w:rFonts w:eastAsia="Calibri" w:cs="Arial"/>
              </w:rPr>
              <w:t>These mentors will act as good role models and help with basic numeracy to improve confidence of the</w:t>
            </w:r>
            <w:r w:rsidR="00E12B03" w:rsidRPr="00226A0E">
              <w:rPr>
                <w:rFonts w:eastAsia="Calibri" w:cs="Arial"/>
              </w:rPr>
              <w:t xml:space="preserve"> students who are below the </w:t>
            </w:r>
            <w:r w:rsidRPr="00226A0E">
              <w:rPr>
                <w:rFonts w:eastAsia="Calibri" w:cs="Arial"/>
              </w:rPr>
              <w:t>benchmark. This will take place once per week during Tutor Time</w:t>
            </w:r>
          </w:p>
        </w:tc>
        <w:tc>
          <w:tcPr>
            <w:tcW w:w="6817" w:type="dxa"/>
            <w:shd w:val="clear" w:color="auto" w:fill="FFFFFF" w:themeFill="background1"/>
          </w:tcPr>
          <w:p w:rsidR="00F37756" w:rsidRDefault="00226A0E" w:rsidP="00245EF8">
            <w:pPr>
              <w:pStyle w:val="NormalWeb"/>
              <w:spacing w:before="0" w:beforeAutospacing="0" w:after="0" w:afterAutospacing="0"/>
              <w:rPr>
                <w:rFonts w:asciiTheme="minorHAnsi" w:hAnsiTheme="minorHAnsi" w:cs="Arial"/>
                <w:color w:val="333333"/>
                <w:sz w:val="22"/>
                <w:szCs w:val="22"/>
              </w:rPr>
            </w:pPr>
            <w:r w:rsidRPr="00226A0E">
              <w:rPr>
                <w:rFonts w:asciiTheme="minorHAnsi" w:hAnsiTheme="minorHAnsi" w:cs="Arial"/>
                <w:color w:val="333333"/>
                <w:sz w:val="22"/>
                <w:szCs w:val="22"/>
              </w:rPr>
              <w:t xml:space="preserve">To increase the confidence of students in Maths. </w:t>
            </w:r>
          </w:p>
          <w:p w:rsidR="00F37756" w:rsidRPr="00F37756" w:rsidRDefault="00F37756" w:rsidP="00F37756">
            <w:pPr>
              <w:rPr>
                <w:lang w:eastAsia="en-GB"/>
              </w:rPr>
            </w:pPr>
          </w:p>
          <w:p w:rsidR="00F37756" w:rsidRPr="00F37756" w:rsidRDefault="00F37756" w:rsidP="00F37756">
            <w:pPr>
              <w:rPr>
                <w:lang w:eastAsia="en-GB"/>
              </w:rPr>
            </w:pPr>
          </w:p>
          <w:p w:rsidR="00F37756" w:rsidRPr="00F37756" w:rsidRDefault="00F37756" w:rsidP="00F37756">
            <w:pPr>
              <w:rPr>
                <w:lang w:eastAsia="en-GB"/>
              </w:rPr>
            </w:pPr>
          </w:p>
          <w:p w:rsidR="00F37756" w:rsidRPr="00F37756" w:rsidRDefault="00F37756" w:rsidP="00F37756">
            <w:pPr>
              <w:rPr>
                <w:lang w:eastAsia="en-GB"/>
              </w:rPr>
            </w:pPr>
          </w:p>
          <w:p w:rsidR="005F39EE" w:rsidRPr="00F37756" w:rsidRDefault="005F39EE" w:rsidP="00F37756">
            <w:pPr>
              <w:tabs>
                <w:tab w:val="left" w:pos="1380"/>
              </w:tabs>
              <w:rPr>
                <w:lang w:eastAsia="en-GB"/>
              </w:rPr>
            </w:pPr>
          </w:p>
        </w:tc>
      </w:tr>
      <w:tr w:rsidR="005F39EE" w:rsidRPr="00226A0E" w:rsidTr="00F37756">
        <w:tc>
          <w:tcPr>
            <w:tcW w:w="3196" w:type="dxa"/>
            <w:shd w:val="clear" w:color="auto" w:fill="FFFFFF" w:themeFill="background1"/>
            <w:tcMar>
              <w:top w:w="0" w:type="dxa"/>
              <w:left w:w="108" w:type="dxa"/>
              <w:bottom w:w="0" w:type="dxa"/>
              <w:right w:w="108" w:type="dxa"/>
            </w:tcMar>
          </w:tcPr>
          <w:p w:rsidR="005F39EE" w:rsidRPr="00226A0E" w:rsidRDefault="00F37756" w:rsidP="00245EF8">
            <w:pPr>
              <w:pStyle w:val="NormalWeb"/>
              <w:spacing w:before="0" w:beforeAutospacing="0" w:after="0" w:afterAutospacing="0"/>
              <w:rPr>
                <w:rFonts w:asciiTheme="minorHAnsi" w:hAnsiTheme="minorHAnsi" w:cs="Arial"/>
                <w:sz w:val="22"/>
                <w:szCs w:val="22"/>
              </w:rPr>
            </w:pPr>
            <w:proofErr w:type="spellStart"/>
            <w:r>
              <w:rPr>
                <w:rFonts w:asciiTheme="minorHAnsi" w:hAnsiTheme="minorHAnsi" w:cs="Arial"/>
                <w:sz w:val="22"/>
                <w:szCs w:val="22"/>
              </w:rPr>
              <w:t>Hegarty</w:t>
            </w:r>
            <w:proofErr w:type="spellEnd"/>
            <w:r>
              <w:rPr>
                <w:rFonts w:asciiTheme="minorHAnsi" w:hAnsiTheme="minorHAnsi" w:cs="Arial"/>
                <w:sz w:val="22"/>
                <w:szCs w:val="22"/>
              </w:rPr>
              <w:t xml:space="preserve"> Ma</w:t>
            </w:r>
            <w:r w:rsidR="005F39EE" w:rsidRPr="00226A0E">
              <w:rPr>
                <w:rFonts w:asciiTheme="minorHAnsi" w:hAnsiTheme="minorHAnsi" w:cs="Arial"/>
                <w:sz w:val="22"/>
                <w:szCs w:val="22"/>
              </w:rPr>
              <w:t xml:space="preserve">ths </w:t>
            </w:r>
          </w:p>
        </w:tc>
        <w:tc>
          <w:tcPr>
            <w:tcW w:w="3278" w:type="dxa"/>
            <w:shd w:val="clear" w:color="auto" w:fill="FFFFFF" w:themeFill="background1"/>
            <w:tcMar>
              <w:top w:w="0" w:type="dxa"/>
              <w:left w:w="108" w:type="dxa"/>
              <w:bottom w:w="0" w:type="dxa"/>
              <w:right w:w="108" w:type="dxa"/>
            </w:tcMar>
          </w:tcPr>
          <w:p w:rsidR="005F39EE" w:rsidRPr="00226A0E" w:rsidRDefault="005F39EE" w:rsidP="00245EF8">
            <w:pPr>
              <w:pStyle w:val="NormalWeb"/>
              <w:spacing w:before="0" w:beforeAutospacing="0" w:after="0" w:afterAutospacing="0"/>
              <w:rPr>
                <w:rFonts w:asciiTheme="minorHAnsi" w:hAnsiTheme="minorHAnsi" w:cs="Arial"/>
                <w:sz w:val="22"/>
                <w:szCs w:val="22"/>
              </w:rPr>
            </w:pPr>
            <w:r w:rsidRPr="00226A0E">
              <w:rPr>
                <w:rFonts w:asciiTheme="minorHAnsi" w:eastAsia="Calibri" w:hAnsiTheme="minorHAnsi" w:cs="Arial"/>
                <w:sz w:val="22"/>
                <w:szCs w:val="22"/>
              </w:rPr>
              <w:t xml:space="preserve">A bespoke plan for each student will be mapped out using the QLA. Videos and tasks on the web based platform </w:t>
            </w:r>
            <w:proofErr w:type="spellStart"/>
            <w:r w:rsidRPr="00226A0E">
              <w:rPr>
                <w:rFonts w:asciiTheme="minorHAnsi" w:eastAsia="Calibri" w:hAnsiTheme="minorHAnsi" w:cs="Arial"/>
                <w:sz w:val="22"/>
                <w:szCs w:val="22"/>
              </w:rPr>
              <w:t>Hegarty</w:t>
            </w:r>
            <w:proofErr w:type="spellEnd"/>
            <w:r w:rsidRPr="00226A0E">
              <w:rPr>
                <w:rFonts w:asciiTheme="minorHAnsi" w:eastAsia="Calibri" w:hAnsiTheme="minorHAnsi" w:cs="Arial"/>
                <w:sz w:val="22"/>
                <w:szCs w:val="22"/>
              </w:rPr>
              <w:t xml:space="preserve"> Maths will be allocated to students so that they will have the opportunity to work on their specific areas of need both at home and in school</w:t>
            </w:r>
          </w:p>
        </w:tc>
        <w:tc>
          <w:tcPr>
            <w:tcW w:w="6817" w:type="dxa"/>
            <w:shd w:val="clear" w:color="auto" w:fill="FFFFFF" w:themeFill="background1"/>
          </w:tcPr>
          <w:p w:rsidR="005F39EE" w:rsidRPr="00226A0E" w:rsidRDefault="00226A0E" w:rsidP="00245EF8">
            <w:pPr>
              <w:pStyle w:val="NormalWeb"/>
              <w:spacing w:before="0" w:beforeAutospacing="0" w:after="0" w:afterAutospacing="0"/>
              <w:rPr>
                <w:rFonts w:asciiTheme="minorHAnsi" w:hAnsiTheme="minorHAnsi" w:cs="Arial"/>
                <w:color w:val="333333"/>
                <w:sz w:val="22"/>
                <w:szCs w:val="22"/>
              </w:rPr>
            </w:pPr>
            <w:r w:rsidRPr="00226A0E">
              <w:rPr>
                <w:rFonts w:asciiTheme="minorHAnsi" w:hAnsiTheme="minorHAnsi" w:cs="Arial"/>
                <w:color w:val="333333"/>
                <w:sz w:val="22"/>
                <w:szCs w:val="22"/>
              </w:rPr>
              <w:t>The impact of these interventions will be measured by calculating the improvement in the percentage of questions answered in each strand that has been identified as a weakness. Students will sit SATS papers through the year so that more data is generated to track progress in these areas.</w:t>
            </w:r>
          </w:p>
        </w:tc>
      </w:tr>
    </w:tbl>
    <w:p w:rsidR="00C74064" w:rsidRDefault="00C74064"/>
    <w:sectPr w:rsidR="00C74064" w:rsidSect="00F37756">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637" w:rsidRDefault="00614637" w:rsidP="00614637">
      <w:r>
        <w:separator/>
      </w:r>
    </w:p>
  </w:endnote>
  <w:endnote w:type="continuationSeparator" w:id="0">
    <w:p w:rsidR="00614637" w:rsidRDefault="00614637" w:rsidP="0061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37" w:rsidRDefault="00614637">
    <w:pPr>
      <w:pStyle w:val="Footer"/>
      <w:rPr>
        <w:noProof/>
      </w:rPr>
    </w:pPr>
    <w:r>
      <w:rPr>
        <w:noProof/>
        <w:lang w:eastAsia="en-GB"/>
      </w:rPr>
      <w:drawing>
        <wp:anchor distT="0" distB="0" distL="114300" distR="114300" simplePos="0" relativeHeight="251659264" behindDoc="0" locked="0" layoutInCell="1" allowOverlap="1" wp14:anchorId="4CC733A4" wp14:editId="1115085A">
          <wp:simplePos x="0" y="0"/>
          <wp:positionH relativeFrom="column">
            <wp:posOffset>3166745</wp:posOffset>
          </wp:positionH>
          <wp:positionV relativeFrom="paragraph">
            <wp:posOffset>-23821</wp:posOffset>
          </wp:positionV>
          <wp:extent cx="2055495" cy="35179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5495" cy="351790"/>
                  </a:xfrm>
                  <a:prstGeom prst="rect">
                    <a:avLst/>
                  </a:prstGeom>
                  <a:noFill/>
                </pic:spPr>
              </pic:pic>
            </a:graphicData>
          </a:graphic>
          <wp14:sizeRelH relativeFrom="page">
            <wp14:pctWidth>0</wp14:pctWidth>
          </wp14:sizeRelH>
          <wp14:sizeRelV relativeFrom="page">
            <wp14:pctHeight>0</wp14:pctHeight>
          </wp14:sizeRelV>
        </wp:anchor>
      </w:drawing>
    </w:r>
    <w:r w:rsidRPr="00874C73">
      <w:t>Page</w:t>
    </w:r>
    <w:r w:rsidRPr="00874C73">
      <w:rPr>
        <w:b/>
      </w:rPr>
      <w:t xml:space="preserve"> </w:t>
    </w:r>
    <w:r w:rsidRPr="00E64E2A">
      <w:rPr>
        <w:b/>
        <w:color w:val="FF1F64"/>
      </w:rPr>
      <w:t>|</w:t>
    </w:r>
    <w:r>
      <w:t xml:space="preserve"> </w:t>
    </w:r>
    <w:r w:rsidRPr="00874C73">
      <w:fldChar w:fldCharType="begin"/>
    </w:r>
    <w:r w:rsidRPr="00874C73">
      <w:instrText xml:space="preserve"> PAGE   \* MERGEFORMAT </w:instrText>
    </w:r>
    <w:r w:rsidRPr="00874C73">
      <w:fldChar w:fldCharType="separate"/>
    </w:r>
    <w:r w:rsidR="00F37756">
      <w:rPr>
        <w:noProof/>
      </w:rPr>
      <w:t>1</w:t>
    </w:r>
    <w:r w:rsidRPr="00874C73">
      <w:rPr>
        <w:noProof/>
      </w:rPr>
      <w:fldChar w:fldCharType="end"/>
    </w:r>
    <w:r>
      <w:rPr>
        <w:noProof/>
      </w:rPr>
      <w:tab/>
    </w:r>
    <w:r>
      <w:rPr>
        <w:noProof/>
      </w:rPr>
      <w:tab/>
    </w:r>
    <w:r>
      <w:rPr>
        <w:noProof/>
      </w:rPr>
      <w:tab/>
    </w:r>
    <w:r>
      <w:rPr>
        <w:noProof/>
      </w:rPr>
      <w:tab/>
    </w:r>
    <w:r w:rsidR="00F37756">
      <w:rPr>
        <w:noProof/>
      </w:rPr>
      <w:tab/>
    </w:r>
    <w:r w:rsidR="00F37756">
      <w:rPr>
        <w:noProof/>
      </w:rPr>
      <w:tab/>
      <w:t>ED, MW, 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637" w:rsidRDefault="00614637" w:rsidP="00614637">
      <w:r>
        <w:separator/>
      </w:r>
    </w:p>
  </w:footnote>
  <w:footnote w:type="continuationSeparator" w:id="0">
    <w:p w:rsidR="00614637" w:rsidRDefault="00614637" w:rsidP="00614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94609"/>
    <w:multiLevelType w:val="hybridMultilevel"/>
    <w:tmpl w:val="25C07B0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nsid w:val="3FA14E60"/>
    <w:multiLevelType w:val="hybridMultilevel"/>
    <w:tmpl w:val="0DDE492C"/>
    <w:lvl w:ilvl="0" w:tplc="0809000D">
      <w:start w:val="1"/>
      <w:numFmt w:val="bullet"/>
      <w:lvlText w:val=""/>
      <w:lvlJc w:val="left"/>
      <w:pPr>
        <w:ind w:left="715" w:hanging="360"/>
      </w:pPr>
      <w:rPr>
        <w:rFonts w:ascii="Wingdings" w:hAnsi="Wingdings"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nsid w:val="5EAF3AD4"/>
    <w:multiLevelType w:val="hybridMultilevel"/>
    <w:tmpl w:val="3F66AD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64"/>
    <w:rsid w:val="00003AB2"/>
    <w:rsid w:val="00010298"/>
    <w:rsid w:val="00073ED9"/>
    <w:rsid w:val="00074388"/>
    <w:rsid w:val="001853E7"/>
    <w:rsid w:val="001E1E5C"/>
    <w:rsid w:val="0021380F"/>
    <w:rsid w:val="00226A0E"/>
    <w:rsid w:val="003024DF"/>
    <w:rsid w:val="003E5739"/>
    <w:rsid w:val="004B5410"/>
    <w:rsid w:val="00525627"/>
    <w:rsid w:val="005266B4"/>
    <w:rsid w:val="0053098D"/>
    <w:rsid w:val="005F39EE"/>
    <w:rsid w:val="00614637"/>
    <w:rsid w:val="007B31DC"/>
    <w:rsid w:val="007D6DF1"/>
    <w:rsid w:val="008527BF"/>
    <w:rsid w:val="008B3E79"/>
    <w:rsid w:val="00A10B4E"/>
    <w:rsid w:val="00AA408D"/>
    <w:rsid w:val="00AF3DB5"/>
    <w:rsid w:val="00BE3BC3"/>
    <w:rsid w:val="00C40D5F"/>
    <w:rsid w:val="00C74064"/>
    <w:rsid w:val="00C904B5"/>
    <w:rsid w:val="00D735D7"/>
    <w:rsid w:val="00DE352C"/>
    <w:rsid w:val="00DE6AEF"/>
    <w:rsid w:val="00E12B03"/>
    <w:rsid w:val="00E27F92"/>
    <w:rsid w:val="00E96DAD"/>
    <w:rsid w:val="00EE3DDD"/>
    <w:rsid w:val="00F37756"/>
    <w:rsid w:val="00F76797"/>
    <w:rsid w:val="00FD0331"/>
    <w:rsid w:val="00FD4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406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3AB2"/>
    <w:rPr>
      <w:color w:val="0563C1" w:themeColor="hyperlink"/>
      <w:u w:val="single"/>
    </w:rPr>
  </w:style>
  <w:style w:type="paragraph" w:styleId="ListParagraph">
    <w:name w:val="List Paragraph"/>
    <w:basedOn w:val="Normal"/>
    <w:uiPriority w:val="34"/>
    <w:qFormat/>
    <w:rsid w:val="00A10B4E"/>
    <w:pPr>
      <w:ind w:left="720"/>
      <w:contextualSpacing/>
    </w:pPr>
  </w:style>
  <w:style w:type="paragraph" w:styleId="Header">
    <w:name w:val="header"/>
    <w:basedOn w:val="Normal"/>
    <w:link w:val="HeaderChar"/>
    <w:uiPriority w:val="99"/>
    <w:unhideWhenUsed/>
    <w:rsid w:val="00614637"/>
    <w:pPr>
      <w:tabs>
        <w:tab w:val="center" w:pos="4513"/>
        <w:tab w:val="right" w:pos="9026"/>
      </w:tabs>
    </w:pPr>
  </w:style>
  <w:style w:type="character" w:customStyle="1" w:styleId="HeaderChar">
    <w:name w:val="Header Char"/>
    <w:basedOn w:val="DefaultParagraphFont"/>
    <w:link w:val="Header"/>
    <w:uiPriority w:val="99"/>
    <w:rsid w:val="00614637"/>
  </w:style>
  <w:style w:type="paragraph" w:styleId="Footer">
    <w:name w:val="footer"/>
    <w:basedOn w:val="Normal"/>
    <w:link w:val="FooterChar"/>
    <w:uiPriority w:val="99"/>
    <w:unhideWhenUsed/>
    <w:rsid w:val="00614637"/>
    <w:pPr>
      <w:tabs>
        <w:tab w:val="center" w:pos="4513"/>
        <w:tab w:val="right" w:pos="9026"/>
      </w:tabs>
    </w:pPr>
  </w:style>
  <w:style w:type="character" w:customStyle="1" w:styleId="FooterChar">
    <w:name w:val="Footer Char"/>
    <w:basedOn w:val="DefaultParagraphFont"/>
    <w:link w:val="Footer"/>
    <w:uiPriority w:val="99"/>
    <w:rsid w:val="00614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406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3AB2"/>
    <w:rPr>
      <w:color w:val="0563C1" w:themeColor="hyperlink"/>
      <w:u w:val="single"/>
    </w:rPr>
  </w:style>
  <w:style w:type="paragraph" w:styleId="ListParagraph">
    <w:name w:val="List Paragraph"/>
    <w:basedOn w:val="Normal"/>
    <w:uiPriority w:val="34"/>
    <w:qFormat/>
    <w:rsid w:val="00A10B4E"/>
    <w:pPr>
      <w:ind w:left="720"/>
      <w:contextualSpacing/>
    </w:pPr>
  </w:style>
  <w:style w:type="paragraph" w:styleId="Header">
    <w:name w:val="header"/>
    <w:basedOn w:val="Normal"/>
    <w:link w:val="HeaderChar"/>
    <w:uiPriority w:val="99"/>
    <w:unhideWhenUsed/>
    <w:rsid w:val="00614637"/>
    <w:pPr>
      <w:tabs>
        <w:tab w:val="center" w:pos="4513"/>
        <w:tab w:val="right" w:pos="9026"/>
      </w:tabs>
    </w:pPr>
  </w:style>
  <w:style w:type="character" w:customStyle="1" w:styleId="HeaderChar">
    <w:name w:val="Header Char"/>
    <w:basedOn w:val="DefaultParagraphFont"/>
    <w:link w:val="Header"/>
    <w:uiPriority w:val="99"/>
    <w:rsid w:val="00614637"/>
  </w:style>
  <w:style w:type="paragraph" w:styleId="Footer">
    <w:name w:val="footer"/>
    <w:basedOn w:val="Normal"/>
    <w:link w:val="FooterChar"/>
    <w:uiPriority w:val="99"/>
    <w:unhideWhenUsed/>
    <w:rsid w:val="00614637"/>
    <w:pPr>
      <w:tabs>
        <w:tab w:val="center" w:pos="4513"/>
        <w:tab w:val="right" w:pos="9026"/>
      </w:tabs>
    </w:pPr>
  </w:style>
  <w:style w:type="character" w:customStyle="1" w:styleId="FooterChar">
    <w:name w:val="Footer Char"/>
    <w:basedOn w:val="DefaultParagraphFont"/>
    <w:link w:val="Footer"/>
    <w:uiPriority w:val="99"/>
    <w:rsid w:val="00614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Richardson</dc:creator>
  <cp:lastModifiedBy>DODDS, Mrs E (edodds)</cp:lastModifiedBy>
  <cp:revision>2</cp:revision>
  <dcterms:created xsi:type="dcterms:W3CDTF">2020-01-10T10:55:00Z</dcterms:created>
  <dcterms:modified xsi:type="dcterms:W3CDTF">2020-01-10T10:55:00Z</dcterms:modified>
</cp:coreProperties>
</file>