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A4" w:rsidRDefault="005D62A4"/>
    <w:p w:rsidR="005D62A4" w:rsidRDefault="005D62A4"/>
    <w:tbl>
      <w:tblPr>
        <w:tblpPr w:leftFromText="187" w:rightFromText="187" w:vertAnchor="page" w:horzAnchor="margin" w:tblpY="1756"/>
        <w:tblW w:w="4475" w:type="pct"/>
        <w:tblBorders>
          <w:left w:val="single" w:sz="18" w:space="0" w:color="4F81BD"/>
        </w:tblBorders>
        <w:tblLook w:val="04A0" w:firstRow="1" w:lastRow="0" w:firstColumn="1" w:lastColumn="0" w:noHBand="0" w:noVBand="1"/>
      </w:tblPr>
      <w:tblGrid>
        <w:gridCol w:w="8284"/>
      </w:tblGrid>
      <w:tr w:rsidR="005D62A4">
        <w:trPr>
          <w:trHeight w:val="1475"/>
        </w:trPr>
        <w:tc>
          <w:tcPr>
            <w:tcW w:w="8284" w:type="dxa"/>
            <w:tcMar>
              <w:top w:w="216" w:type="dxa"/>
              <w:left w:w="115" w:type="dxa"/>
              <w:bottom w:w="216" w:type="dxa"/>
              <w:right w:w="115" w:type="dxa"/>
            </w:tcMar>
          </w:tcPr>
          <w:p w:rsidR="005D62A4" w:rsidRDefault="002F77E1">
            <w:pPr>
              <w:pStyle w:val="NoSpacing"/>
              <w:rPr>
                <w:rFonts w:ascii="Arial Black" w:eastAsia="Times New Roman" w:hAnsi="Arial Black" w:cs="Times New Roman"/>
                <w:sz w:val="52"/>
                <w:szCs w:val="52"/>
              </w:rPr>
            </w:pPr>
            <w:r>
              <w:rPr>
                <w:rFonts w:ascii="Arial Black" w:eastAsia="Times New Roman" w:hAnsi="Arial Black" w:cs="Times New Roman"/>
                <w:sz w:val="52"/>
                <w:szCs w:val="52"/>
              </w:rPr>
              <w:t>Waseley Hills High School</w:t>
            </w:r>
          </w:p>
        </w:tc>
      </w:tr>
      <w:tr w:rsidR="005D62A4">
        <w:trPr>
          <w:trHeight w:val="1494"/>
        </w:trPr>
        <w:tc>
          <w:tcPr>
            <w:tcW w:w="8284" w:type="dxa"/>
          </w:tcPr>
          <w:p w:rsidR="005D62A4" w:rsidRDefault="00D454DB">
            <w:pPr>
              <w:pStyle w:val="NoSpacing"/>
              <w:rPr>
                <w:rFonts w:ascii="Arial Black" w:eastAsia="Times New Roman" w:hAnsi="Arial Black" w:cs="Times New Roman"/>
                <w:color w:val="4F81BD"/>
                <w:sz w:val="52"/>
                <w:szCs w:val="52"/>
              </w:rPr>
            </w:pPr>
            <w:r>
              <w:rPr>
                <w:rFonts w:ascii="Arial Black" w:eastAsia="Times New Roman" w:hAnsi="Arial Black" w:cs="Times New Roman"/>
                <w:sz w:val="52"/>
                <w:szCs w:val="52"/>
                <w:lang w:val="en-GB"/>
              </w:rPr>
              <w:t>CHARGING AND REFUNDS POLICY</w:t>
            </w:r>
          </w:p>
        </w:tc>
      </w:tr>
    </w:tbl>
    <w:p w:rsidR="005D62A4" w:rsidRDefault="005D62A4">
      <w:pPr>
        <w:jc w:val="center"/>
        <w:rPr>
          <w:rFonts w:ascii="Arial" w:hAnsi="Arial" w:cs="Arial"/>
          <w:b/>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1C1C42">
      <w:pPr>
        <w:rPr>
          <w:rFonts w:ascii="Arial" w:hAnsi="Arial" w:cs="Arial"/>
          <w:sz w:val="28"/>
          <w:szCs w:val="28"/>
        </w:rPr>
      </w:pPr>
      <w:r>
        <w:rPr>
          <w:noProof/>
          <w:lang w:eastAsia="en-GB"/>
        </w:rPr>
        <mc:AlternateContent>
          <mc:Choice Requires="wps">
            <w:drawing>
              <wp:anchor distT="0" distB="0" distL="114300" distR="114300" simplePos="0" relativeHeight="251659264" behindDoc="0" locked="0" layoutInCell="1" allowOverlap="1" wp14:anchorId="2825B5DE" wp14:editId="49BED9F1">
                <wp:simplePos x="0" y="0"/>
                <wp:positionH relativeFrom="column">
                  <wp:posOffset>2052955</wp:posOffset>
                </wp:positionH>
                <wp:positionV relativeFrom="paragraph">
                  <wp:posOffset>84455</wp:posOffset>
                </wp:positionV>
                <wp:extent cx="4356100" cy="2286000"/>
                <wp:effectExtent l="0" t="0" r="254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2286000"/>
                        </a:xfrm>
                        <a:prstGeom prst="rect">
                          <a:avLst/>
                        </a:prstGeom>
                        <a:solidFill>
                          <a:srgbClr val="FFFFFF"/>
                        </a:solidFill>
                        <a:ln w="9525">
                          <a:solidFill>
                            <a:srgbClr val="000000"/>
                          </a:solidFill>
                          <a:miter lim="800000"/>
                          <a:headEnd/>
                          <a:tailEnd/>
                        </a:ln>
                      </wps:spPr>
                      <wps:txbx>
                        <w:txbxContent>
                          <w:p w:rsidR="005D62A4" w:rsidRDefault="002F77E1">
                            <w:pPr>
                              <w:rPr>
                                <w:rFonts w:ascii="Arial" w:hAnsi="Arial" w:cs="Arial"/>
                                <w:b/>
                                <w:sz w:val="32"/>
                                <w:szCs w:val="32"/>
                              </w:rPr>
                            </w:pPr>
                            <w:r>
                              <w:rPr>
                                <w:rFonts w:ascii="Arial" w:hAnsi="Arial" w:cs="Arial"/>
                                <w:b/>
                                <w:sz w:val="32"/>
                                <w:szCs w:val="32"/>
                              </w:rPr>
                              <w:t xml:space="preserve">Responsibility: </w:t>
                            </w:r>
                            <w:r>
                              <w:rPr>
                                <w:rFonts w:ascii="Arial" w:hAnsi="Arial" w:cs="Arial"/>
                                <w:b/>
                                <w:sz w:val="32"/>
                                <w:szCs w:val="32"/>
                              </w:rPr>
                              <w:tab/>
                            </w:r>
                            <w:proofErr w:type="spellStart"/>
                            <w:r w:rsidR="005E27D8">
                              <w:rPr>
                                <w:rFonts w:ascii="Arial" w:hAnsi="Arial" w:cs="Arial"/>
                                <w:b/>
                                <w:sz w:val="32"/>
                                <w:szCs w:val="32"/>
                              </w:rPr>
                              <w:t>Headteacher</w:t>
                            </w:r>
                            <w:proofErr w:type="spellEnd"/>
                            <w:r w:rsidR="00AB2870">
                              <w:rPr>
                                <w:rFonts w:ascii="Arial" w:hAnsi="Arial" w:cs="Arial"/>
                                <w:b/>
                                <w:sz w:val="32"/>
                                <w:szCs w:val="32"/>
                              </w:rPr>
                              <w:t xml:space="preserve"> </w:t>
                            </w:r>
                          </w:p>
                          <w:p w:rsidR="005D62A4" w:rsidRDefault="005D62A4">
                            <w:pPr>
                              <w:rPr>
                                <w:rFonts w:ascii="Arial" w:hAnsi="Arial" w:cs="Arial"/>
                                <w:b/>
                                <w:sz w:val="32"/>
                                <w:szCs w:val="32"/>
                              </w:rPr>
                            </w:pPr>
                          </w:p>
                          <w:p w:rsidR="005D62A4" w:rsidRDefault="002F77E1">
                            <w:pPr>
                              <w:rPr>
                                <w:rFonts w:ascii="Arial" w:hAnsi="Arial" w:cs="Arial"/>
                                <w:b/>
                                <w:sz w:val="32"/>
                                <w:szCs w:val="32"/>
                              </w:rPr>
                            </w:pPr>
                            <w:r>
                              <w:rPr>
                                <w:rFonts w:ascii="Arial" w:hAnsi="Arial" w:cs="Arial"/>
                                <w:b/>
                                <w:sz w:val="32"/>
                                <w:szCs w:val="32"/>
                              </w:rPr>
                              <w:t>Author:</w:t>
                            </w:r>
                            <w:r>
                              <w:rPr>
                                <w:rFonts w:ascii="Arial" w:hAnsi="Arial" w:cs="Arial"/>
                                <w:b/>
                                <w:sz w:val="32"/>
                                <w:szCs w:val="32"/>
                              </w:rPr>
                              <w:tab/>
                            </w:r>
                            <w:r>
                              <w:rPr>
                                <w:rFonts w:ascii="Arial" w:hAnsi="Arial" w:cs="Arial"/>
                                <w:b/>
                                <w:sz w:val="32"/>
                                <w:szCs w:val="32"/>
                              </w:rPr>
                              <w:tab/>
                            </w:r>
                            <w:r>
                              <w:rPr>
                                <w:rFonts w:ascii="Arial" w:hAnsi="Arial" w:cs="Arial"/>
                                <w:b/>
                                <w:sz w:val="32"/>
                                <w:szCs w:val="32"/>
                              </w:rPr>
                              <w:tab/>
                            </w:r>
                            <w:proofErr w:type="spellStart"/>
                            <w:r w:rsidR="005E27D8">
                              <w:rPr>
                                <w:rFonts w:ascii="Arial" w:hAnsi="Arial" w:cs="Arial"/>
                                <w:b/>
                                <w:sz w:val="32"/>
                                <w:szCs w:val="32"/>
                              </w:rPr>
                              <w:t>Headteacher</w:t>
                            </w:r>
                            <w:proofErr w:type="spellEnd"/>
                            <w:r w:rsidR="005E27D8">
                              <w:rPr>
                                <w:rFonts w:ascii="Arial" w:hAnsi="Arial" w:cs="Arial"/>
                                <w:b/>
                                <w:sz w:val="32"/>
                                <w:szCs w:val="32"/>
                              </w:rPr>
                              <w:br/>
                            </w:r>
                            <w:r>
                              <w:rPr>
                                <w:rFonts w:ascii="Arial" w:hAnsi="Arial" w:cs="Arial"/>
                                <w:b/>
                                <w:sz w:val="32"/>
                                <w:szCs w:val="32"/>
                              </w:rPr>
                              <w:tab/>
                            </w:r>
                          </w:p>
                          <w:p w:rsidR="005D62A4" w:rsidRDefault="002F77E1">
                            <w:pPr>
                              <w:rPr>
                                <w:rFonts w:ascii="Arial" w:hAnsi="Arial" w:cs="Arial"/>
                                <w:b/>
                                <w:sz w:val="32"/>
                                <w:szCs w:val="32"/>
                              </w:rPr>
                            </w:pPr>
                            <w:r>
                              <w:rPr>
                                <w:rFonts w:ascii="Arial" w:hAnsi="Arial" w:cs="Arial"/>
                                <w:b/>
                                <w:sz w:val="32"/>
                                <w:szCs w:val="32"/>
                              </w:rPr>
                              <w:t>Date of Issue:</w:t>
                            </w:r>
                            <w:r>
                              <w:rPr>
                                <w:rFonts w:ascii="Arial" w:hAnsi="Arial" w:cs="Arial"/>
                                <w:b/>
                                <w:sz w:val="32"/>
                                <w:szCs w:val="32"/>
                              </w:rPr>
                              <w:tab/>
                            </w:r>
                            <w:r>
                              <w:rPr>
                                <w:rFonts w:ascii="Arial" w:hAnsi="Arial" w:cs="Arial"/>
                                <w:b/>
                                <w:sz w:val="32"/>
                                <w:szCs w:val="32"/>
                              </w:rPr>
                              <w:tab/>
                            </w:r>
                            <w:r w:rsidR="006E6B73">
                              <w:rPr>
                                <w:rFonts w:ascii="Arial" w:hAnsi="Arial" w:cs="Arial"/>
                                <w:b/>
                                <w:sz w:val="32"/>
                                <w:szCs w:val="32"/>
                              </w:rPr>
                              <w:t>Spring 2021</w:t>
                            </w:r>
                          </w:p>
                          <w:p w:rsidR="005D62A4" w:rsidRDefault="005D62A4">
                            <w:pPr>
                              <w:rPr>
                                <w:rFonts w:ascii="Arial" w:hAnsi="Arial" w:cs="Arial"/>
                                <w:b/>
                                <w:sz w:val="32"/>
                                <w:szCs w:val="32"/>
                              </w:rPr>
                            </w:pPr>
                          </w:p>
                          <w:p w:rsidR="005D62A4" w:rsidRDefault="006E6B73">
                            <w:pPr>
                              <w:rPr>
                                <w:rFonts w:ascii="Arial" w:hAnsi="Arial" w:cs="Arial"/>
                                <w:sz w:val="32"/>
                                <w:szCs w:val="32"/>
                              </w:rPr>
                            </w:pPr>
                            <w:r>
                              <w:rPr>
                                <w:rFonts w:ascii="Arial" w:hAnsi="Arial" w:cs="Arial"/>
                                <w:b/>
                                <w:sz w:val="32"/>
                                <w:szCs w:val="32"/>
                              </w:rPr>
                              <w:t>Review Date:</w:t>
                            </w:r>
                            <w:r>
                              <w:rPr>
                                <w:rFonts w:ascii="Arial" w:hAnsi="Arial" w:cs="Arial"/>
                                <w:b/>
                                <w:sz w:val="32"/>
                                <w:szCs w:val="32"/>
                              </w:rPr>
                              <w:tab/>
                            </w:r>
                            <w:r>
                              <w:rPr>
                                <w:rFonts w:ascii="Arial" w:hAnsi="Arial" w:cs="Arial"/>
                                <w:b/>
                                <w:sz w:val="32"/>
                                <w:szCs w:val="32"/>
                              </w:rPr>
                              <w:tab/>
                              <w:t>Spring 2022</w:t>
                            </w:r>
                            <w:bookmarkStart w:id="0" w:name="_GoBack"/>
                            <w:bookmarkEnd w:id="0"/>
                          </w:p>
                          <w:p w:rsidR="005D62A4" w:rsidRDefault="005D62A4">
                            <w:pPr>
                              <w:rPr>
                                <w:rFonts w:ascii="Arial" w:hAnsi="Arial" w:cs="Arial"/>
                                <w:b/>
                                <w:sz w:val="32"/>
                                <w:szCs w:val="32"/>
                              </w:rPr>
                            </w:pPr>
                          </w:p>
                          <w:p w:rsidR="005D62A4" w:rsidRDefault="002F77E1">
                            <w:pPr>
                              <w:rPr>
                                <w:rFonts w:ascii="Arial" w:hAnsi="Arial" w:cs="Arial"/>
                                <w:sz w:val="32"/>
                                <w:szCs w:val="32"/>
                              </w:rPr>
                            </w:pPr>
                            <w:r>
                              <w:rPr>
                                <w:rFonts w:ascii="Arial" w:hAnsi="Arial" w:cs="Arial"/>
                                <w:b/>
                                <w:sz w:val="32"/>
                                <w:szCs w:val="32"/>
                              </w:rPr>
                              <w:t>Reference:</w:t>
                            </w:r>
                            <w:r>
                              <w:rPr>
                                <w:rFonts w:ascii="Arial" w:hAnsi="Arial" w:cs="Arial"/>
                                <w:b/>
                                <w:sz w:val="32"/>
                                <w:szCs w:val="32"/>
                              </w:rPr>
                              <w:tab/>
                            </w:r>
                            <w:r>
                              <w:rPr>
                                <w:rFonts w:ascii="Arial" w:hAnsi="Arial" w:cs="Arial"/>
                                <w:b/>
                                <w:sz w:val="32"/>
                                <w:szCs w:val="32"/>
                              </w:rPr>
                              <w:tab/>
                            </w:r>
                            <w:r w:rsidR="00D454DB">
                              <w:rPr>
                                <w:rFonts w:ascii="Arial" w:hAnsi="Arial" w:cs="Arial"/>
                                <w:sz w:val="32"/>
                                <w:szCs w:val="32"/>
                              </w:rPr>
                              <w:t>WHHS0003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1.65pt;margin-top:6.65pt;width:343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">
                <v:textbox>
                  <w:txbxContent>
                    <w:p w:rsidR="005D62A4" w:rsidRDefault="002F77E1">
                      <w:pPr>
                        <w:rPr>
                          <w:rFonts w:ascii="Arial" w:hAnsi="Arial" w:cs="Arial"/>
                          <w:b/>
                          <w:sz w:val="32"/>
                          <w:szCs w:val="32"/>
                        </w:rPr>
                      </w:pPr>
                      <w:r>
                        <w:rPr>
                          <w:rFonts w:ascii="Arial" w:hAnsi="Arial" w:cs="Arial"/>
                          <w:b/>
                          <w:sz w:val="32"/>
                          <w:szCs w:val="32"/>
                        </w:rPr>
                        <w:t xml:space="preserve">Responsibility: </w:t>
                      </w:r>
                      <w:r>
                        <w:rPr>
                          <w:rFonts w:ascii="Arial" w:hAnsi="Arial" w:cs="Arial"/>
                          <w:b/>
                          <w:sz w:val="32"/>
                          <w:szCs w:val="32"/>
                        </w:rPr>
                        <w:tab/>
                      </w:r>
                      <w:proofErr w:type="spellStart"/>
                      <w:r w:rsidR="005E27D8">
                        <w:rPr>
                          <w:rFonts w:ascii="Arial" w:hAnsi="Arial" w:cs="Arial"/>
                          <w:b/>
                          <w:sz w:val="32"/>
                          <w:szCs w:val="32"/>
                        </w:rPr>
                        <w:t>Headteacher</w:t>
                      </w:r>
                      <w:proofErr w:type="spellEnd"/>
                      <w:r w:rsidR="00AB2870">
                        <w:rPr>
                          <w:rFonts w:ascii="Arial" w:hAnsi="Arial" w:cs="Arial"/>
                          <w:b/>
                          <w:sz w:val="32"/>
                          <w:szCs w:val="32"/>
                        </w:rPr>
                        <w:t xml:space="preserve"> </w:t>
                      </w:r>
                    </w:p>
                    <w:p w:rsidR="005D62A4" w:rsidRDefault="005D62A4">
                      <w:pPr>
                        <w:rPr>
                          <w:rFonts w:ascii="Arial" w:hAnsi="Arial" w:cs="Arial"/>
                          <w:b/>
                          <w:sz w:val="32"/>
                          <w:szCs w:val="32"/>
                        </w:rPr>
                      </w:pPr>
                    </w:p>
                    <w:p w:rsidR="005D62A4" w:rsidRDefault="002F77E1">
                      <w:pPr>
                        <w:rPr>
                          <w:rFonts w:ascii="Arial" w:hAnsi="Arial" w:cs="Arial"/>
                          <w:b/>
                          <w:sz w:val="32"/>
                          <w:szCs w:val="32"/>
                        </w:rPr>
                      </w:pPr>
                      <w:r>
                        <w:rPr>
                          <w:rFonts w:ascii="Arial" w:hAnsi="Arial" w:cs="Arial"/>
                          <w:b/>
                          <w:sz w:val="32"/>
                          <w:szCs w:val="32"/>
                        </w:rPr>
                        <w:t>Author:</w:t>
                      </w:r>
                      <w:r>
                        <w:rPr>
                          <w:rFonts w:ascii="Arial" w:hAnsi="Arial" w:cs="Arial"/>
                          <w:b/>
                          <w:sz w:val="32"/>
                          <w:szCs w:val="32"/>
                        </w:rPr>
                        <w:tab/>
                      </w:r>
                      <w:r>
                        <w:rPr>
                          <w:rFonts w:ascii="Arial" w:hAnsi="Arial" w:cs="Arial"/>
                          <w:b/>
                          <w:sz w:val="32"/>
                          <w:szCs w:val="32"/>
                        </w:rPr>
                        <w:tab/>
                      </w:r>
                      <w:r>
                        <w:rPr>
                          <w:rFonts w:ascii="Arial" w:hAnsi="Arial" w:cs="Arial"/>
                          <w:b/>
                          <w:sz w:val="32"/>
                          <w:szCs w:val="32"/>
                        </w:rPr>
                        <w:tab/>
                      </w:r>
                      <w:proofErr w:type="spellStart"/>
                      <w:r w:rsidR="005E27D8">
                        <w:rPr>
                          <w:rFonts w:ascii="Arial" w:hAnsi="Arial" w:cs="Arial"/>
                          <w:b/>
                          <w:sz w:val="32"/>
                          <w:szCs w:val="32"/>
                        </w:rPr>
                        <w:t>Headteacher</w:t>
                      </w:r>
                      <w:proofErr w:type="spellEnd"/>
                      <w:r w:rsidR="005E27D8">
                        <w:rPr>
                          <w:rFonts w:ascii="Arial" w:hAnsi="Arial" w:cs="Arial"/>
                          <w:b/>
                          <w:sz w:val="32"/>
                          <w:szCs w:val="32"/>
                        </w:rPr>
                        <w:br/>
                      </w:r>
                      <w:r>
                        <w:rPr>
                          <w:rFonts w:ascii="Arial" w:hAnsi="Arial" w:cs="Arial"/>
                          <w:b/>
                          <w:sz w:val="32"/>
                          <w:szCs w:val="32"/>
                        </w:rPr>
                        <w:tab/>
                      </w:r>
                    </w:p>
                    <w:p w:rsidR="005D62A4" w:rsidRDefault="002F77E1">
                      <w:pPr>
                        <w:rPr>
                          <w:rFonts w:ascii="Arial" w:hAnsi="Arial" w:cs="Arial"/>
                          <w:b/>
                          <w:sz w:val="32"/>
                          <w:szCs w:val="32"/>
                        </w:rPr>
                      </w:pPr>
                      <w:r>
                        <w:rPr>
                          <w:rFonts w:ascii="Arial" w:hAnsi="Arial" w:cs="Arial"/>
                          <w:b/>
                          <w:sz w:val="32"/>
                          <w:szCs w:val="32"/>
                        </w:rPr>
                        <w:t>Date of Issue:</w:t>
                      </w:r>
                      <w:r>
                        <w:rPr>
                          <w:rFonts w:ascii="Arial" w:hAnsi="Arial" w:cs="Arial"/>
                          <w:b/>
                          <w:sz w:val="32"/>
                          <w:szCs w:val="32"/>
                        </w:rPr>
                        <w:tab/>
                      </w:r>
                      <w:r>
                        <w:rPr>
                          <w:rFonts w:ascii="Arial" w:hAnsi="Arial" w:cs="Arial"/>
                          <w:b/>
                          <w:sz w:val="32"/>
                          <w:szCs w:val="32"/>
                        </w:rPr>
                        <w:tab/>
                      </w:r>
                      <w:r w:rsidR="006E6B73">
                        <w:rPr>
                          <w:rFonts w:ascii="Arial" w:hAnsi="Arial" w:cs="Arial"/>
                          <w:b/>
                          <w:sz w:val="32"/>
                          <w:szCs w:val="32"/>
                        </w:rPr>
                        <w:t>Spring 2021</w:t>
                      </w:r>
                    </w:p>
                    <w:p w:rsidR="005D62A4" w:rsidRDefault="005D62A4">
                      <w:pPr>
                        <w:rPr>
                          <w:rFonts w:ascii="Arial" w:hAnsi="Arial" w:cs="Arial"/>
                          <w:b/>
                          <w:sz w:val="32"/>
                          <w:szCs w:val="32"/>
                        </w:rPr>
                      </w:pPr>
                    </w:p>
                    <w:p w:rsidR="005D62A4" w:rsidRDefault="006E6B73">
                      <w:pPr>
                        <w:rPr>
                          <w:rFonts w:ascii="Arial" w:hAnsi="Arial" w:cs="Arial"/>
                          <w:sz w:val="32"/>
                          <w:szCs w:val="32"/>
                        </w:rPr>
                      </w:pPr>
                      <w:r>
                        <w:rPr>
                          <w:rFonts w:ascii="Arial" w:hAnsi="Arial" w:cs="Arial"/>
                          <w:b/>
                          <w:sz w:val="32"/>
                          <w:szCs w:val="32"/>
                        </w:rPr>
                        <w:t>Review Date:</w:t>
                      </w:r>
                      <w:r>
                        <w:rPr>
                          <w:rFonts w:ascii="Arial" w:hAnsi="Arial" w:cs="Arial"/>
                          <w:b/>
                          <w:sz w:val="32"/>
                          <w:szCs w:val="32"/>
                        </w:rPr>
                        <w:tab/>
                      </w:r>
                      <w:r>
                        <w:rPr>
                          <w:rFonts w:ascii="Arial" w:hAnsi="Arial" w:cs="Arial"/>
                          <w:b/>
                          <w:sz w:val="32"/>
                          <w:szCs w:val="32"/>
                        </w:rPr>
                        <w:tab/>
                        <w:t>Spring 2022</w:t>
                      </w:r>
                      <w:bookmarkStart w:id="1" w:name="_GoBack"/>
                      <w:bookmarkEnd w:id="1"/>
                    </w:p>
                    <w:p w:rsidR="005D62A4" w:rsidRDefault="005D62A4">
                      <w:pPr>
                        <w:rPr>
                          <w:rFonts w:ascii="Arial" w:hAnsi="Arial" w:cs="Arial"/>
                          <w:b/>
                          <w:sz w:val="32"/>
                          <w:szCs w:val="32"/>
                        </w:rPr>
                      </w:pPr>
                    </w:p>
                    <w:p w:rsidR="005D62A4" w:rsidRDefault="002F77E1">
                      <w:pPr>
                        <w:rPr>
                          <w:rFonts w:ascii="Arial" w:hAnsi="Arial" w:cs="Arial"/>
                          <w:sz w:val="32"/>
                          <w:szCs w:val="32"/>
                        </w:rPr>
                      </w:pPr>
                      <w:r>
                        <w:rPr>
                          <w:rFonts w:ascii="Arial" w:hAnsi="Arial" w:cs="Arial"/>
                          <w:b/>
                          <w:sz w:val="32"/>
                          <w:szCs w:val="32"/>
                        </w:rPr>
                        <w:t>Reference:</w:t>
                      </w:r>
                      <w:r>
                        <w:rPr>
                          <w:rFonts w:ascii="Arial" w:hAnsi="Arial" w:cs="Arial"/>
                          <w:b/>
                          <w:sz w:val="32"/>
                          <w:szCs w:val="32"/>
                        </w:rPr>
                        <w:tab/>
                      </w:r>
                      <w:r>
                        <w:rPr>
                          <w:rFonts w:ascii="Arial" w:hAnsi="Arial" w:cs="Arial"/>
                          <w:b/>
                          <w:sz w:val="32"/>
                          <w:szCs w:val="32"/>
                        </w:rPr>
                        <w:tab/>
                      </w:r>
                      <w:r w:rsidR="00D454DB">
                        <w:rPr>
                          <w:rFonts w:ascii="Arial" w:hAnsi="Arial" w:cs="Arial"/>
                          <w:sz w:val="32"/>
                          <w:szCs w:val="32"/>
                        </w:rPr>
                        <w:t>WHHS0003</w:t>
                      </w:r>
                    </w:p>
                  </w:txbxContent>
                </v:textbox>
              </v:shape>
            </w:pict>
          </mc:Fallback>
        </mc:AlternateContent>
      </w: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rPr>
          <w:rFonts w:ascii="Arial" w:hAnsi="Arial" w:cs="Arial"/>
          <w:sz w:val="28"/>
          <w:szCs w:val="28"/>
        </w:rPr>
      </w:pPr>
    </w:p>
    <w:p w:rsidR="005D62A4" w:rsidRDefault="005D62A4">
      <w:pPr>
        <w:jc w:val="center"/>
        <w:rPr>
          <w:rFonts w:ascii="Arial" w:hAnsi="Arial" w:cs="Arial"/>
          <w:sz w:val="28"/>
          <w:szCs w:val="28"/>
        </w:rPr>
      </w:pPr>
    </w:p>
    <w:p w:rsidR="005D62A4" w:rsidRDefault="005D62A4">
      <w:pPr>
        <w:rPr>
          <w:rFonts w:ascii="Arial" w:hAnsi="Arial" w:cs="Arial"/>
          <w:sz w:val="28"/>
          <w:szCs w:val="28"/>
        </w:rPr>
      </w:pPr>
    </w:p>
    <w:p w:rsidR="005D62A4" w:rsidRDefault="005D62A4">
      <w:pPr>
        <w:jc w:val="center"/>
        <w:rPr>
          <w:rFonts w:ascii="Arial" w:hAnsi="Arial" w:cs="Arial"/>
          <w:sz w:val="28"/>
          <w:szCs w:val="28"/>
        </w:rPr>
      </w:pPr>
    </w:p>
    <w:p w:rsidR="005D62A4" w:rsidRDefault="002F77E1">
      <w:pPr>
        <w:tabs>
          <w:tab w:val="left" w:pos="6885"/>
        </w:tabs>
        <w:rPr>
          <w:rFonts w:ascii="Arial" w:hAnsi="Arial" w:cs="Arial"/>
          <w:sz w:val="28"/>
          <w:szCs w:val="28"/>
        </w:rPr>
      </w:pPr>
      <w:r>
        <w:rPr>
          <w:rFonts w:ascii="Arial" w:hAnsi="Arial" w:cs="Arial"/>
          <w:sz w:val="28"/>
          <w:szCs w:val="28"/>
        </w:rPr>
        <w:tab/>
      </w:r>
    </w:p>
    <w:p w:rsidR="005D62A4" w:rsidRDefault="005D62A4">
      <w:pPr>
        <w:tabs>
          <w:tab w:val="left" w:pos="6885"/>
        </w:tabs>
        <w:rPr>
          <w:rFonts w:ascii="Arial" w:hAnsi="Arial" w:cs="Arial"/>
          <w:sz w:val="28"/>
          <w:szCs w:val="28"/>
        </w:rPr>
      </w:pPr>
    </w:p>
    <w:p w:rsidR="005D62A4" w:rsidRDefault="00CB03D0">
      <w:pPr>
        <w:tabs>
          <w:tab w:val="left" w:pos="6885"/>
        </w:tabs>
        <w:rPr>
          <w:rFonts w:ascii="Arial" w:hAnsi="Arial" w:cs="Arial"/>
          <w:sz w:val="28"/>
          <w:szCs w:val="28"/>
        </w:rPr>
      </w:pPr>
      <w:r>
        <w:rPr>
          <w:rFonts w:ascii="Arial" w:hAnsi="Arial" w:cs="Arial"/>
          <w:noProof/>
          <w:sz w:val="28"/>
          <w:szCs w:val="28"/>
          <w:lang w:eastAsia="en-GB"/>
        </w:rPr>
        <mc:AlternateContent>
          <mc:Choice Requires="wps">
            <w:drawing>
              <wp:anchor distT="0" distB="0" distL="114300" distR="114300" simplePos="0" relativeHeight="251660288" behindDoc="0" locked="0" layoutInCell="1" allowOverlap="1" wp14:anchorId="5B35ADA2" wp14:editId="3552FE7D">
                <wp:simplePos x="0" y="0"/>
                <wp:positionH relativeFrom="column">
                  <wp:posOffset>2053087</wp:posOffset>
                </wp:positionH>
                <wp:positionV relativeFrom="paragraph">
                  <wp:posOffset>4529</wp:posOffset>
                </wp:positionV>
                <wp:extent cx="4356100" cy="1115695"/>
                <wp:effectExtent l="0" t="0" r="25400" b="27305"/>
                <wp:wrapNone/>
                <wp:docPr id="3" name="Text Box 3"/>
                <wp:cNvGraphicFramePr/>
                <a:graphic xmlns:a="http://schemas.openxmlformats.org/drawingml/2006/main">
                  <a:graphicData uri="http://schemas.microsoft.com/office/word/2010/wordprocessingShape">
                    <wps:wsp>
                      <wps:cNvSpPr txBox="1"/>
                      <wps:spPr>
                        <a:xfrm>
                          <a:off x="0" y="0"/>
                          <a:ext cx="4356100" cy="1115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2A4" w:rsidRDefault="005D62A4">
                            <w:pPr>
                              <w:pStyle w:val="Default"/>
                            </w:pPr>
                          </w:p>
                          <w:p w:rsidR="005D62A4" w:rsidRDefault="002F77E1">
                            <w:pPr>
                              <w:pStyle w:val="Default"/>
                              <w:rPr>
                                <w:sz w:val="22"/>
                                <w:szCs w:val="22"/>
                              </w:rPr>
                            </w:pPr>
                            <w:r>
                              <w:rPr>
                                <w:sz w:val="22"/>
                                <w:szCs w:val="22"/>
                              </w:rPr>
                              <w:t xml:space="preserve">The contents of this policy are reviewed and monitored on a regular basis by Senior Leaders, Heads of Subject and staff with responsibility to that area. </w:t>
                            </w:r>
                          </w:p>
                          <w:p w:rsidR="005D62A4" w:rsidRDefault="002F77E1">
                            <w:pPr>
                              <w:rPr>
                                <w:rFonts w:ascii="Arial" w:hAnsi="Arial" w:cs="Arial"/>
                                <w:sz w:val="22"/>
                                <w:szCs w:val="22"/>
                              </w:rPr>
                            </w:pPr>
                            <w:r>
                              <w:rPr>
                                <w:rFonts w:ascii="Arial" w:hAnsi="Arial" w:cs="Arial"/>
                                <w:sz w:val="22"/>
                                <w:szCs w:val="22"/>
                              </w:rPr>
                              <w:t>Direct responsibilities are written into job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61.65pt;margin-top:.35pt;width:343pt;height:8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" fillcolor="white [3201]" strokeweight=".5pt">
                <v:textbox>
                  <w:txbxContent>
                    <w:p w:rsidR="005D62A4" w:rsidRDefault="005D62A4">
                      <w:pPr>
                        <w:pStyle w:val="Default"/>
                      </w:pPr>
                    </w:p>
                    <w:p w:rsidR="005D62A4" w:rsidRDefault="002F77E1">
                      <w:pPr>
                        <w:pStyle w:val="Default"/>
                        <w:rPr>
                          <w:sz w:val="22"/>
                          <w:szCs w:val="22"/>
                        </w:rPr>
                      </w:pPr>
                      <w:r>
                        <w:rPr>
                          <w:sz w:val="22"/>
                          <w:szCs w:val="22"/>
                        </w:rPr>
                        <w:t>The contents of this policy are reviewed and monitored on a regular basis by Senior Leaders, Heads of Subject and staff with responsibility to that area.</w:t>
                      </w:r>
                      <w:bookmarkStart w:id="1" w:name="_GoBack"/>
                      <w:bookmarkEnd w:id="1"/>
                      <w:r>
                        <w:rPr>
                          <w:sz w:val="22"/>
                          <w:szCs w:val="22"/>
                        </w:rPr>
                        <w:t xml:space="preserve"> </w:t>
                      </w:r>
                    </w:p>
                    <w:p w:rsidR="005D62A4" w:rsidRDefault="002F77E1">
                      <w:pPr>
                        <w:rPr>
                          <w:rFonts w:ascii="Arial" w:hAnsi="Arial" w:cs="Arial"/>
                          <w:sz w:val="22"/>
                          <w:szCs w:val="22"/>
                        </w:rPr>
                      </w:pPr>
                      <w:r>
                        <w:rPr>
                          <w:rFonts w:ascii="Arial" w:hAnsi="Arial" w:cs="Arial"/>
                          <w:sz w:val="22"/>
                          <w:szCs w:val="22"/>
                        </w:rPr>
                        <w:t>Direct responsibilities are written into job descriptions.</w:t>
                      </w:r>
                    </w:p>
                  </w:txbxContent>
                </v:textbox>
              </v:shape>
            </w:pict>
          </mc:Fallback>
        </mc:AlternateContent>
      </w:r>
    </w:p>
    <w:p w:rsidR="005D62A4" w:rsidRDefault="005D62A4">
      <w:pPr>
        <w:tabs>
          <w:tab w:val="left" w:pos="6885"/>
        </w:tabs>
        <w:rPr>
          <w:rFonts w:ascii="Arial" w:hAnsi="Arial" w:cs="Arial"/>
          <w:sz w:val="28"/>
          <w:szCs w:val="28"/>
        </w:rPr>
      </w:pPr>
    </w:p>
    <w:p w:rsidR="005D62A4" w:rsidRDefault="005D62A4">
      <w:pPr>
        <w:tabs>
          <w:tab w:val="left" w:pos="6885"/>
        </w:tabs>
        <w:jc w:val="right"/>
        <w:rPr>
          <w:rFonts w:ascii="Arial" w:hAnsi="Arial" w:cs="Arial"/>
          <w:sz w:val="28"/>
          <w:szCs w:val="28"/>
        </w:rPr>
      </w:pPr>
    </w:p>
    <w:p w:rsidR="005D62A4" w:rsidRDefault="005D62A4"/>
    <w:p w:rsidR="005D62A4" w:rsidRDefault="005D62A4"/>
    <w:p w:rsidR="005D62A4" w:rsidRDefault="005D62A4"/>
    <w:p w:rsidR="005D62A4" w:rsidRDefault="005D62A4"/>
    <w:p w:rsidR="005D62A4" w:rsidRDefault="005D62A4"/>
    <w:p w:rsidR="005D62A4" w:rsidRDefault="005D62A4"/>
    <w:p w:rsidR="005D62A4" w:rsidRDefault="005D62A4"/>
    <w:p w:rsidR="005D62A4" w:rsidRDefault="002F77E1">
      <w:r>
        <w:rPr>
          <w:noProof/>
          <w:lang w:eastAsia="en-GB"/>
        </w:rPr>
        <w:drawing>
          <wp:anchor distT="0" distB="0" distL="114300" distR="114300" simplePos="0" relativeHeight="251658240" behindDoc="0" locked="0" layoutInCell="1" allowOverlap="1" wp14:anchorId="346A7BD7" wp14:editId="741DC97C">
            <wp:simplePos x="0" y="0"/>
            <wp:positionH relativeFrom="column">
              <wp:posOffset>3930015</wp:posOffset>
            </wp:positionH>
            <wp:positionV relativeFrom="paragraph">
              <wp:posOffset>54610</wp:posOffset>
            </wp:positionV>
            <wp:extent cx="2268220" cy="1600200"/>
            <wp:effectExtent l="0" t="0" r="0" b="0"/>
            <wp:wrapNone/>
            <wp:docPr id="1" name="Picture 1" descr="WHHS Squ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HS Squar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822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62A4" w:rsidRDefault="005D62A4"/>
    <w:p w:rsidR="005D62A4" w:rsidRDefault="005D62A4"/>
    <w:p w:rsidR="005D62A4" w:rsidRDefault="005D62A4"/>
    <w:p w:rsidR="005D62A4" w:rsidRDefault="005D62A4"/>
    <w:p w:rsidR="005D62A4" w:rsidRDefault="005D62A4"/>
    <w:p w:rsidR="005D62A4" w:rsidRDefault="005D62A4"/>
    <w:p w:rsidR="005D62A4" w:rsidRDefault="005D62A4">
      <w:pPr>
        <w:autoSpaceDE w:val="0"/>
        <w:autoSpaceDN w:val="0"/>
        <w:adjustRightInd w:val="0"/>
        <w:rPr>
          <w:rFonts w:ascii="Arial" w:eastAsiaTheme="minorHAnsi" w:hAnsi="Arial" w:cs="Arial"/>
          <w:b/>
          <w:bCs/>
          <w:color w:val="000000"/>
          <w:sz w:val="28"/>
          <w:szCs w:val="28"/>
        </w:rPr>
      </w:pPr>
    </w:p>
    <w:p w:rsidR="005D62A4" w:rsidRDefault="005D62A4">
      <w:pPr>
        <w:autoSpaceDE w:val="0"/>
        <w:autoSpaceDN w:val="0"/>
        <w:adjustRightInd w:val="0"/>
        <w:rPr>
          <w:rFonts w:ascii="Arial" w:eastAsiaTheme="minorHAnsi" w:hAnsi="Arial" w:cs="Arial"/>
          <w:b/>
          <w:bCs/>
          <w:color w:val="000000"/>
          <w:sz w:val="28"/>
          <w:szCs w:val="28"/>
        </w:rPr>
      </w:pPr>
    </w:p>
    <w:p w:rsidR="00D454DB" w:rsidRDefault="00D454DB" w:rsidP="005E27D8">
      <w:pPr>
        <w:rPr>
          <w:rFonts w:ascii="Calibri" w:hAnsi="Calibri" w:cs="Arial"/>
          <w:b/>
          <w:lang w:val="en-US" w:eastAsia="en-GB"/>
        </w:rPr>
      </w:pPr>
    </w:p>
    <w:p w:rsidR="00D454DB" w:rsidRPr="00D454DB" w:rsidRDefault="00D454DB" w:rsidP="00D454DB">
      <w:pPr>
        <w:jc w:val="right"/>
        <w:rPr>
          <w:rFonts w:ascii="Calibri" w:hAnsi="Calibri" w:cs="Arial"/>
          <w:b/>
          <w:lang w:val="en-US" w:eastAsia="en-GB"/>
        </w:rPr>
      </w:pPr>
      <w:r w:rsidRPr="00D454DB">
        <w:rPr>
          <w:rFonts w:ascii="Calibri" w:hAnsi="Calibri" w:cs="Arial"/>
          <w:b/>
          <w:lang w:val="en-US" w:eastAsia="en-GB"/>
        </w:rPr>
        <w:t xml:space="preserve">Company Registration Number:  </w:t>
      </w:r>
    </w:p>
    <w:p w:rsidR="00D454DB" w:rsidRPr="00D454DB" w:rsidRDefault="00D454DB" w:rsidP="00D454DB">
      <w:pPr>
        <w:jc w:val="right"/>
        <w:rPr>
          <w:rFonts w:ascii="Calibri" w:hAnsi="Calibri" w:cs="Arial"/>
          <w:b/>
          <w:lang w:val="en-US" w:eastAsia="en-GB"/>
        </w:rPr>
      </w:pPr>
      <w:r w:rsidRPr="00D454DB">
        <w:rPr>
          <w:rFonts w:ascii="Calibri" w:hAnsi="Calibri" w:cs="Arial"/>
          <w:b/>
          <w:lang w:val="en-US" w:eastAsia="en-GB"/>
        </w:rPr>
        <w:t>08160225 (England and Wales)</w:t>
      </w:r>
    </w:p>
    <w:p w:rsidR="00D454DB" w:rsidRDefault="00D454DB" w:rsidP="00D454DB">
      <w:pPr>
        <w:autoSpaceDE w:val="0"/>
        <w:autoSpaceDN w:val="0"/>
        <w:adjustRightInd w:val="0"/>
        <w:rPr>
          <w:rFonts w:ascii="Arial" w:eastAsiaTheme="minorHAnsi" w:hAnsi="Arial" w:cs="Arial"/>
          <w:bCs/>
          <w:color w:val="000000"/>
          <w:sz w:val="22"/>
          <w:szCs w:val="20"/>
        </w:rPr>
      </w:pPr>
    </w:p>
    <w:p w:rsidR="00D454DB" w:rsidRDefault="00D454DB" w:rsidP="00D454DB">
      <w:pPr>
        <w:autoSpaceDE w:val="0"/>
        <w:autoSpaceDN w:val="0"/>
        <w:adjustRightInd w:val="0"/>
        <w:rPr>
          <w:rFonts w:ascii="Arial" w:eastAsiaTheme="minorHAnsi" w:hAnsi="Arial" w:cs="Arial"/>
          <w:bCs/>
          <w:color w:val="000000"/>
          <w:sz w:val="22"/>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Introduction</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 xml:space="preserve">The Governing Body recognises its duty, under the terms of the 1988 Education Act, to provide statutory education free of charge. No charge will be made by the school with respect to books, materials, equipment or instruments required by students in connection with the study of the National Curriculum or in preparation for prescribed public examination of courses taught at the School. No compulsory charge will be made for incidental transport relating to these activities although voluntary contributions may be sought. </w:t>
      </w:r>
    </w:p>
    <w:p w:rsidR="00C97168" w:rsidRPr="00D454DB" w:rsidRDefault="00C97168" w:rsidP="00D454DB">
      <w:pPr>
        <w:autoSpaceDE w:val="0"/>
        <w:autoSpaceDN w:val="0"/>
        <w:adjustRightInd w:val="0"/>
        <w:ind w:left="36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 xml:space="preserve">However the Governing Body reserves the right to make charges or seek voluntary contributions in the following circumstances: </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 xml:space="preserve">Replacement of lost or damaged property: </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Students are expected to return books and other items issued to them on the completion of a course.  An appropriate charge will be made for items retained, lost or damaged.  Similarly the actual cost of replacing items or making good damage to school equipment, including computer software, or the fabric of the building can be charged.</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 xml:space="preserve">Examination fees: </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Where the student has not been prepared for a prescribed public examination by the School, the Governing Body can make a charge for the cost of entering a student for the examination.  They can also make a charge for any non-prescribed examinations the students may wish to take.  The school may exercise the right to request payment of any re-sat examinations.</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If a student fails without good reason to complete the examination requirements for any examination for which the School has paid (or is liable to pay) an entry fee, then the Governing Body will seek to recover the fee from the parent.</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 xml:space="preserve">Charging in kind: </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A contribution to the cost of materials, ingredients, equipment (or the provision of them by parents) for practical subjects such as Food Technology, Design and Technology and Art may be sought if parents have indicated in advance that they wish to consume or own the finished product.</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Additional Activities</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 xml:space="preserve">The Governors recognise the valuable contribution that the wide range of additional activities, including clubs, trips and residential experiences, make toward students’ personal and social education and wishes to promote the provision of such activities as part of a broader balanced curriculum. However the Governing Body reserves the right to make charges in the following circumstances: </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ind w:left="720"/>
        <w:rPr>
          <w:rFonts w:ascii="Arial" w:eastAsiaTheme="minorHAnsi" w:hAnsi="Arial" w:cs="Arial"/>
          <w:bCs/>
          <w:color w:val="000000"/>
          <w:szCs w:val="20"/>
        </w:rPr>
      </w:pPr>
      <w:r w:rsidRPr="00D454DB">
        <w:rPr>
          <w:rFonts w:ascii="Arial" w:eastAsiaTheme="minorHAnsi" w:hAnsi="Arial" w:cs="Arial"/>
          <w:bCs/>
          <w:color w:val="000000"/>
          <w:szCs w:val="20"/>
        </w:rPr>
        <w:t xml:space="preserve">Activities in school hours: </w:t>
      </w:r>
    </w:p>
    <w:p w:rsidR="00C97168" w:rsidRPr="00D454DB" w:rsidRDefault="00C97168" w:rsidP="00D454DB">
      <w:pPr>
        <w:autoSpaceDE w:val="0"/>
        <w:autoSpaceDN w:val="0"/>
        <w:adjustRightInd w:val="0"/>
        <w:ind w:left="720"/>
        <w:rPr>
          <w:rFonts w:ascii="Arial" w:eastAsiaTheme="minorHAnsi" w:hAnsi="Arial" w:cs="Arial"/>
          <w:bCs/>
          <w:color w:val="000000"/>
          <w:szCs w:val="20"/>
        </w:rPr>
      </w:pPr>
    </w:p>
    <w:p w:rsidR="00C97168" w:rsidRPr="00D454DB" w:rsidRDefault="00D454DB" w:rsidP="00D454DB">
      <w:pPr>
        <w:autoSpaceDE w:val="0"/>
        <w:autoSpaceDN w:val="0"/>
        <w:adjustRightInd w:val="0"/>
        <w:ind w:left="720"/>
        <w:rPr>
          <w:rFonts w:ascii="Arial" w:eastAsiaTheme="minorHAnsi" w:hAnsi="Arial" w:cs="Arial"/>
          <w:bCs/>
          <w:color w:val="000000"/>
          <w:szCs w:val="20"/>
        </w:rPr>
      </w:pPr>
      <w:proofErr w:type="gramStart"/>
      <w:r w:rsidRPr="00D454DB">
        <w:rPr>
          <w:rFonts w:ascii="Arial" w:eastAsiaTheme="minorHAnsi" w:hAnsi="Arial" w:cs="Arial"/>
          <w:bCs/>
          <w:color w:val="000000"/>
          <w:szCs w:val="20"/>
        </w:rPr>
        <w:t>The</w:t>
      </w:r>
      <w:r w:rsidR="00C97168" w:rsidRPr="00D454DB">
        <w:rPr>
          <w:rFonts w:ascii="Arial" w:eastAsiaTheme="minorHAnsi" w:hAnsi="Arial" w:cs="Arial"/>
          <w:bCs/>
          <w:color w:val="000000"/>
          <w:szCs w:val="20"/>
        </w:rPr>
        <w:t xml:space="preserve"> board and lodging element of residential activities which are deemed to take place in school hours, such as Geography field visits.</w:t>
      </w:r>
      <w:proofErr w:type="gramEnd"/>
    </w:p>
    <w:p w:rsidR="00C97168" w:rsidRPr="00D454DB" w:rsidRDefault="00C97168" w:rsidP="00D454DB">
      <w:pPr>
        <w:autoSpaceDE w:val="0"/>
        <w:autoSpaceDN w:val="0"/>
        <w:adjustRightInd w:val="0"/>
        <w:ind w:left="720"/>
        <w:rPr>
          <w:rFonts w:ascii="Arial" w:eastAsiaTheme="minorHAnsi" w:hAnsi="Arial" w:cs="Arial"/>
          <w:bCs/>
          <w:color w:val="000000"/>
          <w:szCs w:val="20"/>
        </w:rPr>
      </w:pPr>
    </w:p>
    <w:p w:rsidR="00C97168" w:rsidRPr="00D454DB" w:rsidRDefault="00D454DB" w:rsidP="00D454DB">
      <w:pPr>
        <w:autoSpaceDE w:val="0"/>
        <w:autoSpaceDN w:val="0"/>
        <w:adjustRightInd w:val="0"/>
        <w:ind w:left="720"/>
        <w:rPr>
          <w:rFonts w:ascii="Arial" w:eastAsiaTheme="minorHAnsi" w:hAnsi="Arial" w:cs="Arial"/>
          <w:bCs/>
          <w:color w:val="000000"/>
          <w:szCs w:val="20"/>
        </w:rPr>
      </w:pPr>
      <w:r w:rsidRPr="00D454DB">
        <w:rPr>
          <w:rFonts w:ascii="Arial" w:eastAsiaTheme="minorHAnsi" w:hAnsi="Arial" w:cs="Arial"/>
          <w:bCs/>
          <w:color w:val="000000"/>
          <w:szCs w:val="20"/>
        </w:rPr>
        <w:t>The</w:t>
      </w:r>
      <w:r w:rsidR="00C97168" w:rsidRPr="00D454DB">
        <w:rPr>
          <w:rFonts w:ascii="Arial" w:eastAsiaTheme="minorHAnsi" w:hAnsi="Arial" w:cs="Arial"/>
          <w:bCs/>
          <w:color w:val="000000"/>
          <w:szCs w:val="20"/>
        </w:rPr>
        <w:t xml:space="preserve"> proportionate charge to each student of non-residential activities deemed to be optional extras taking place in school hours.</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ind w:left="720"/>
        <w:rPr>
          <w:rFonts w:ascii="Arial" w:eastAsiaTheme="minorHAnsi" w:hAnsi="Arial" w:cs="Arial"/>
          <w:bCs/>
          <w:color w:val="000000"/>
          <w:szCs w:val="20"/>
        </w:rPr>
      </w:pPr>
      <w:r w:rsidRPr="00D454DB">
        <w:rPr>
          <w:rFonts w:ascii="Arial" w:eastAsiaTheme="minorHAnsi" w:hAnsi="Arial" w:cs="Arial"/>
          <w:bCs/>
          <w:color w:val="000000"/>
          <w:szCs w:val="20"/>
        </w:rPr>
        <w:t xml:space="preserve">Activities outside school hours: </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ind w:left="720"/>
        <w:rPr>
          <w:rFonts w:ascii="Arial" w:eastAsiaTheme="minorHAnsi" w:hAnsi="Arial" w:cs="Arial"/>
          <w:bCs/>
          <w:color w:val="000000"/>
          <w:szCs w:val="20"/>
        </w:rPr>
      </w:pPr>
      <w:r w:rsidRPr="00D454DB">
        <w:rPr>
          <w:rFonts w:ascii="Arial" w:eastAsiaTheme="minorHAnsi" w:hAnsi="Arial" w:cs="Arial"/>
          <w:bCs/>
          <w:color w:val="000000"/>
          <w:szCs w:val="20"/>
        </w:rPr>
        <w:t>The proportionate charge to each student of activities deemed to be optional extras taking place outside school hours, such as visits to theatres, museums, galleries, sporting activities etc.</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ind w:left="720"/>
        <w:rPr>
          <w:rFonts w:ascii="Arial" w:eastAsiaTheme="minorHAnsi" w:hAnsi="Arial" w:cs="Arial"/>
          <w:bCs/>
          <w:color w:val="000000"/>
          <w:szCs w:val="20"/>
        </w:rPr>
      </w:pPr>
      <w:r w:rsidRPr="00D454DB">
        <w:rPr>
          <w:rFonts w:ascii="Arial" w:eastAsiaTheme="minorHAnsi" w:hAnsi="Arial" w:cs="Arial"/>
          <w:bCs/>
          <w:color w:val="000000"/>
          <w:szCs w:val="20"/>
        </w:rPr>
        <w:t xml:space="preserve">Duke of Edinburgh Award Scheme Fees: </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ind w:left="1440"/>
        <w:rPr>
          <w:rFonts w:ascii="Arial" w:eastAsiaTheme="minorHAnsi" w:hAnsi="Arial" w:cs="Arial"/>
          <w:bCs/>
          <w:color w:val="000000"/>
          <w:szCs w:val="20"/>
        </w:rPr>
      </w:pPr>
      <w:r w:rsidRPr="00D454DB">
        <w:rPr>
          <w:rFonts w:ascii="Arial" w:eastAsiaTheme="minorHAnsi" w:hAnsi="Arial" w:cs="Arial"/>
          <w:bCs/>
          <w:color w:val="000000"/>
          <w:szCs w:val="20"/>
        </w:rPr>
        <w:t>A termly charge will be made.</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ind w:left="720"/>
        <w:rPr>
          <w:rFonts w:ascii="Arial" w:eastAsiaTheme="minorHAnsi" w:hAnsi="Arial" w:cs="Arial"/>
          <w:bCs/>
          <w:color w:val="000000"/>
          <w:szCs w:val="20"/>
        </w:rPr>
      </w:pPr>
      <w:r w:rsidRPr="00D454DB">
        <w:rPr>
          <w:rFonts w:ascii="Arial" w:eastAsiaTheme="minorHAnsi" w:hAnsi="Arial" w:cs="Arial"/>
          <w:bCs/>
          <w:color w:val="000000"/>
          <w:szCs w:val="20"/>
        </w:rPr>
        <w:t xml:space="preserve">Individual Instrumental music tuition: </w:t>
      </w:r>
    </w:p>
    <w:p w:rsidR="00C97168" w:rsidRPr="00D454DB" w:rsidRDefault="00C97168" w:rsidP="00D454DB">
      <w:pPr>
        <w:autoSpaceDE w:val="0"/>
        <w:autoSpaceDN w:val="0"/>
        <w:adjustRightInd w:val="0"/>
        <w:ind w:left="1440"/>
        <w:rPr>
          <w:rFonts w:ascii="Arial" w:eastAsiaTheme="minorHAnsi" w:hAnsi="Arial" w:cs="Arial"/>
          <w:bCs/>
          <w:color w:val="000000"/>
          <w:szCs w:val="20"/>
        </w:rPr>
      </w:pPr>
    </w:p>
    <w:p w:rsidR="00C97168" w:rsidRPr="00D454DB" w:rsidRDefault="00C97168" w:rsidP="00D454DB">
      <w:pPr>
        <w:autoSpaceDE w:val="0"/>
        <w:autoSpaceDN w:val="0"/>
        <w:adjustRightInd w:val="0"/>
        <w:ind w:left="1440"/>
        <w:rPr>
          <w:rFonts w:ascii="Arial" w:eastAsiaTheme="minorHAnsi" w:hAnsi="Arial" w:cs="Arial"/>
          <w:bCs/>
          <w:color w:val="000000"/>
          <w:szCs w:val="20"/>
        </w:rPr>
      </w:pPr>
      <w:r w:rsidRPr="00D454DB">
        <w:rPr>
          <w:rFonts w:ascii="Arial" w:eastAsiaTheme="minorHAnsi" w:hAnsi="Arial" w:cs="Arial"/>
          <w:bCs/>
          <w:color w:val="000000"/>
          <w:szCs w:val="20"/>
        </w:rPr>
        <w:t>A termly charge will be made.</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The decision as to “when” and “how much” to charge lies with the Headteacher. Generally voluntary contributions will only be sought when it is not realistic for funding to be wholly or partially met from school funds and the level of contributions sought will only reflect the unfunded costs of the activity. Student participation in any such activity will not be dependent on any contribution being made but Governors reserve the right to withdraw any activity where contributions have been sought if, in the opinion of the Governors, the amount contributed does not make the activity viable.</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As a general principle, when the parents/carers of a student are in receipt of means tested benefit, but additionally in any case where financial hardship is cited, the School will consider remitting, partially or in full, the costs of board and lodging for any residential activity that it organizes for the student, if the activity is deemed to take place within school hours, or where it forms part of the syllabus for a prescribed public examination or the National Curriculum. The decision as to when and how much remission or refund should be made or whether there is justification for providing additional financial support rests with the Headteacher.</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To avoid unnecessary financial difficulties for parents and carers, it is expected that they will be kept informed of the costs and timing of those activities where charges are likely to be levied and given the opportunity, where possible, to provide phased payment. The Governors’ Buildings and Finance Committee is to be kept appraised of those activities where charges have been made or contributions sought and the level of financial support provided to students.</w:t>
      </w:r>
    </w:p>
    <w:p w:rsidR="00C97168" w:rsidRPr="00D454DB" w:rsidRDefault="00C97168" w:rsidP="00D454DB">
      <w:pPr>
        <w:autoSpaceDE w:val="0"/>
        <w:autoSpaceDN w:val="0"/>
        <w:adjustRightInd w:val="0"/>
        <w:rPr>
          <w:rFonts w:ascii="Arial" w:eastAsiaTheme="minorHAnsi" w:hAnsi="Arial" w:cs="Arial"/>
          <w:bCs/>
          <w:color w:val="000000"/>
          <w:szCs w:val="20"/>
        </w:rPr>
      </w:pPr>
    </w:p>
    <w:p w:rsidR="00C97168" w:rsidRPr="00D454DB" w:rsidRDefault="00C97168" w:rsidP="00D454DB">
      <w:pPr>
        <w:autoSpaceDE w:val="0"/>
        <w:autoSpaceDN w:val="0"/>
        <w:adjustRightInd w:val="0"/>
        <w:rPr>
          <w:rFonts w:ascii="Arial" w:eastAsiaTheme="minorHAnsi" w:hAnsi="Arial" w:cs="Arial"/>
          <w:bCs/>
          <w:color w:val="000000"/>
          <w:szCs w:val="20"/>
        </w:rPr>
      </w:pPr>
      <w:r w:rsidRPr="00D454DB">
        <w:rPr>
          <w:rFonts w:ascii="Arial" w:eastAsiaTheme="minorHAnsi" w:hAnsi="Arial" w:cs="Arial"/>
          <w:bCs/>
          <w:color w:val="000000"/>
          <w:szCs w:val="20"/>
        </w:rPr>
        <w:t>The Governing Body may, from time to time, amend the categories of activity for which charges can be levied. Nothing in this policy statement precludes the Governing Body from inviting parents to make a voluntary contribution towards the cost of providing education for students.</w:t>
      </w:r>
    </w:p>
    <w:p w:rsidR="001C1C42" w:rsidRPr="00D454DB" w:rsidRDefault="001C1C42" w:rsidP="00D454DB">
      <w:pPr>
        <w:autoSpaceDE w:val="0"/>
        <w:autoSpaceDN w:val="0"/>
        <w:adjustRightInd w:val="0"/>
        <w:rPr>
          <w:rFonts w:ascii="Arial" w:eastAsiaTheme="minorHAnsi" w:hAnsi="Arial" w:cs="Arial"/>
          <w:b/>
          <w:bCs/>
          <w:color w:val="000000"/>
          <w:szCs w:val="20"/>
        </w:rPr>
      </w:pPr>
    </w:p>
    <w:sectPr w:rsidR="001C1C42" w:rsidRPr="00D454DB">
      <w:footerReference w:type="default" r:id="rId10"/>
      <w:pgSz w:w="11906" w:h="16838"/>
      <w:pgMar w:top="851"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2A4" w:rsidRDefault="002F77E1">
      <w:r>
        <w:separator/>
      </w:r>
    </w:p>
  </w:endnote>
  <w:endnote w:type="continuationSeparator" w:id="0">
    <w:p w:rsidR="005D62A4" w:rsidRDefault="002F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553090"/>
      <w:docPartObj>
        <w:docPartGallery w:val="Page Numbers (Bottom of Page)"/>
        <w:docPartUnique/>
      </w:docPartObj>
    </w:sdtPr>
    <w:sdtEndPr>
      <w:rPr>
        <w:noProof/>
      </w:rPr>
    </w:sdtEndPr>
    <w:sdtContent>
      <w:p w:rsidR="005D62A4" w:rsidRDefault="002F77E1">
        <w:pPr>
          <w:pStyle w:val="Footer"/>
          <w:jc w:val="center"/>
        </w:pPr>
        <w:r>
          <w:fldChar w:fldCharType="begin"/>
        </w:r>
        <w:r>
          <w:instrText xml:space="preserve"> PAGE   \* MERGEFORMAT </w:instrText>
        </w:r>
        <w:r>
          <w:fldChar w:fldCharType="separate"/>
        </w:r>
        <w:r w:rsidR="006E6B73">
          <w:rPr>
            <w:noProof/>
          </w:rPr>
          <w:t>2</w:t>
        </w:r>
        <w:r>
          <w:rPr>
            <w:noProof/>
          </w:rPr>
          <w:fldChar w:fldCharType="end"/>
        </w:r>
      </w:p>
    </w:sdtContent>
  </w:sdt>
  <w:p w:rsidR="005D62A4" w:rsidRDefault="005D62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2A4" w:rsidRDefault="002F77E1">
      <w:r>
        <w:separator/>
      </w:r>
    </w:p>
  </w:footnote>
  <w:footnote w:type="continuationSeparator" w:id="0">
    <w:p w:rsidR="005D62A4" w:rsidRDefault="002F77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4AB"/>
    <w:multiLevelType w:val="hybridMultilevel"/>
    <w:tmpl w:val="4B988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97877"/>
    <w:multiLevelType w:val="hybridMultilevel"/>
    <w:tmpl w:val="5F8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A713AD"/>
    <w:multiLevelType w:val="hybridMultilevel"/>
    <w:tmpl w:val="18E09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3C73AF"/>
    <w:multiLevelType w:val="hybridMultilevel"/>
    <w:tmpl w:val="9FD68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9F65D13"/>
    <w:multiLevelType w:val="hybridMultilevel"/>
    <w:tmpl w:val="E8A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85C71"/>
    <w:multiLevelType w:val="hybridMultilevel"/>
    <w:tmpl w:val="3474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A6514F"/>
    <w:multiLevelType w:val="hybridMultilevel"/>
    <w:tmpl w:val="2ECE0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ED7C84"/>
    <w:multiLevelType w:val="hybridMultilevel"/>
    <w:tmpl w:val="4F54A2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12B4E5D"/>
    <w:multiLevelType w:val="hybridMultilevel"/>
    <w:tmpl w:val="2872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B521F9"/>
    <w:multiLevelType w:val="hybridMultilevel"/>
    <w:tmpl w:val="001C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1B18E3"/>
    <w:multiLevelType w:val="hybridMultilevel"/>
    <w:tmpl w:val="F8D47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10E544B"/>
    <w:multiLevelType w:val="hybridMultilevel"/>
    <w:tmpl w:val="2528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0A493A"/>
    <w:multiLevelType w:val="hybridMultilevel"/>
    <w:tmpl w:val="D94CD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570177"/>
    <w:multiLevelType w:val="hybridMultilevel"/>
    <w:tmpl w:val="A9968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38696D"/>
    <w:multiLevelType w:val="hybridMultilevel"/>
    <w:tmpl w:val="414A10B2"/>
    <w:lvl w:ilvl="0" w:tplc="98B8679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D8094A"/>
    <w:multiLevelType w:val="hybridMultilevel"/>
    <w:tmpl w:val="24DA1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4E46EA"/>
    <w:multiLevelType w:val="multilevel"/>
    <w:tmpl w:val="7F2E86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3DD01017"/>
    <w:multiLevelType w:val="hybridMultilevel"/>
    <w:tmpl w:val="F87A0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F35EBE"/>
    <w:multiLevelType w:val="hybridMultilevel"/>
    <w:tmpl w:val="D8804C42"/>
    <w:lvl w:ilvl="0" w:tplc="9F6C8B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F2E00D2"/>
    <w:multiLevelType w:val="hybridMultilevel"/>
    <w:tmpl w:val="35182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6B12F2"/>
    <w:multiLevelType w:val="hybridMultilevel"/>
    <w:tmpl w:val="E31E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C25C0F"/>
    <w:multiLevelType w:val="hybridMultilevel"/>
    <w:tmpl w:val="CF522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6B1146"/>
    <w:multiLevelType w:val="hybridMultilevel"/>
    <w:tmpl w:val="C2D2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440FEB"/>
    <w:multiLevelType w:val="hybridMultilevel"/>
    <w:tmpl w:val="9E40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05F22B0"/>
    <w:multiLevelType w:val="hybridMultilevel"/>
    <w:tmpl w:val="DFF8D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881842"/>
    <w:multiLevelType w:val="multilevel"/>
    <w:tmpl w:val="7F2E86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BA9357A"/>
    <w:multiLevelType w:val="hybridMultilevel"/>
    <w:tmpl w:val="A932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A069E3"/>
    <w:multiLevelType w:val="hybridMultilevel"/>
    <w:tmpl w:val="D2A0DB56"/>
    <w:lvl w:ilvl="0" w:tplc="5AAA7F3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EA1147"/>
    <w:multiLevelType w:val="hybridMultilevel"/>
    <w:tmpl w:val="EB3A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933A0D"/>
    <w:multiLevelType w:val="hybridMultilevel"/>
    <w:tmpl w:val="6D7C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3C0C5A"/>
    <w:multiLevelType w:val="hybridMultilevel"/>
    <w:tmpl w:val="132A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BCA0045"/>
    <w:multiLevelType w:val="hybridMultilevel"/>
    <w:tmpl w:val="FF2CF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0D03DA"/>
    <w:multiLevelType w:val="hybridMultilevel"/>
    <w:tmpl w:val="E0D4B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2916EB"/>
    <w:multiLevelType w:val="hybridMultilevel"/>
    <w:tmpl w:val="E5BC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B8277E"/>
    <w:multiLevelType w:val="hybridMultilevel"/>
    <w:tmpl w:val="A3B60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34"/>
  </w:num>
  <w:num w:numId="4">
    <w:abstractNumId w:val="32"/>
  </w:num>
  <w:num w:numId="5">
    <w:abstractNumId w:val="18"/>
  </w:num>
  <w:num w:numId="6">
    <w:abstractNumId w:val="6"/>
  </w:num>
  <w:num w:numId="7">
    <w:abstractNumId w:val="19"/>
  </w:num>
  <w:num w:numId="8">
    <w:abstractNumId w:val="22"/>
  </w:num>
  <w:num w:numId="9">
    <w:abstractNumId w:val="24"/>
  </w:num>
  <w:num w:numId="10">
    <w:abstractNumId w:val="5"/>
  </w:num>
  <w:num w:numId="11">
    <w:abstractNumId w:val="8"/>
  </w:num>
  <w:num w:numId="12">
    <w:abstractNumId w:val="31"/>
  </w:num>
  <w:num w:numId="13">
    <w:abstractNumId w:val="30"/>
  </w:num>
  <w:num w:numId="14">
    <w:abstractNumId w:val="17"/>
  </w:num>
  <w:num w:numId="15">
    <w:abstractNumId w:val="0"/>
  </w:num>
  <w:num w:numId="16">
    <w:abstractNumId w:val="13"/>
  </w:num>
  <w:num w:numId="17">
    <w:abstractNumId w:val="26"/>
  </w:num>
  <w:num w:numId="18">
    <w:abstractNumId w:val="12"/>
  </w:num>
  <w:num w:numId="19">
    <w:abstractNumId w:val="21"/>
  </w:num>
  <w:num w:numId="20">
    <w:abstractNumId w:val="15"/>
  </w:num>
  <w:num w:numId="21">
    <w:abstractNumId w:val="20"/>
  </w:num>
  <w:num w:numId="22">
    <w:abstractNumId w:val="11"/>
  </w:num>
  <w:num w:numId="23">
    <w:abstractNumId w:val="33"/>
  </w:num>
  <w:num w:numId="24">
    <w:abstractNumId w:val="23"/>
  </w:num>
  <w:num w:numId="25">
    <w:abstractNumId w:val="10"/>
  </w:num>
  <w:num w:numId="26">
    <w:abstractNumId w:val="1"/>
  </w:num>
  <w:num w:numId="27">
    <w:abstractNumId w:val="14"/>
  </w:num>
  <w:num w:numId="28">
    <w:abstractNumId w:val="2"/>
  </w:num>
  <w:num w:numId="29">
    <w:abstractNumId w:val="29"/>
  </w:num>
  <w:num w:numId="30">
    <w:abstractNumId w:val="3"/>
  </w:num>
  <w:num w:numId="31">
    <w:abstractNumId w:val="4"/>
  </w:num>
  <w:num w:numId="32">
    <w:abstractNumId w:val="9"/>
  </w:num>
  <w:num w:numId="33">
    <w:abstractNumId w:val="7"/>
  </w:num>
  <w:num w:numId="34">
    <w:abstractNumId w:val="25"/>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A4"/>
    <w:rsid w:val="00162E95"/>
    <w:rsid w:val="001C1C42"/>
    <w:rsid w:val="002F77E1"/>
    <w:rsid w:val="00314491"/>
    <w:rsid w:val="004036DE"/>
    <w:rsid w:val="005A3889"/>
    <w:rsid w:val="005D57AB"/>
    <w:rsid w:val="005D62A4"/>
    <w:rsid w:val="005E27D8"/>
    <w:rsid w:val="006E6B73"/>
    <w:rsid w:val="00AB2870"/>
    <w:rsid w:val="00C97168"/>
    <w:rsid w:val="00CB03D0"/>
    <w:rsid w:val="00CE5263"/>
    <w:rsid w:val="00D45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Pr>
      <w:rFonts w:ascii="Calibri" w:eastAsia="MS Mincho" w:hAnsi="Calibri" w:cs="Arial"/>
      <w:lang w:val="en-US" w:eastAsia="ja-JP"/>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7AB"/>
    <w:rPr>
      <w:rFonts w:ascii="Tahoma" w:hAnsi="Tahoma" w:cs="Tahoma"/>
      <w:sz w:val="16"/>
      <w:szCs w:val="16"/>
    </w:rPr>
  </w:style>
  <w:style w:type="character" w:customStyle="1" w:styleId="BalloonTextChar">
    <w:name w:val="Balloon Text Char"/>
    <w:basedOn w:val="DefaultParagraphFont"/>
    <w:link w:val="BalloonText"/>
    <w:uiPriority w:val="99"/>
    <w:semiHidden/>
    <w:rsid w:val="005D57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Pr>
      <w:rFonts w:ascii="Calibri" w:eastAsia="MS Mincho" w:hAnsi="Calibri" w:cs="Arial"/>
      <w:lang w:val="en-US" w:eastAsia="ja-JP"/>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57AB"/>
    <w:rPr>
      <w:rFonts w:ascii="Tahoma" w:hAnsi="Tahoma" w:cs="Tahoma"/>
      <w:sz w:val="16"/>
      <w:szCs w:val="16"/>
    </w:rPr>
  </w:style>
  <w:style w:type="character" w:customStyle="1" w:styleId="BalloonTextChar">
    <w:name w:val="Balloon Text Char"/>
    <w:basedOn w:val="DefaultParagraphFont"/>
    <w:link w:val="BalloonText"/>
    <w:uiPriority w:val="99"/>
    <w:semiHidden/>
    <w:rsid w:val="005D57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24DA3-9582-4ED3-9302-45FA2CC8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SADLER-KELLY, H Ms (HSK)</dc:creator>
  <cp:lastModifiedBy>Joanne E. Toyne</cp:lastModifiedBy>
  <cp:revision>2</cp:revision>
  <dcterms:created xsi:type="dcterms:W3CDTF">2021-05-05T12:37:00Z</dcterms:created>
  <dcterms:modified xsi:type="dcterms:W3CDTF">2021-05-05T12:37:00Z</dcterms:modified>
</cp:coreProperties>
</file>