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2597" w14:textId="199AAFF7" w:rsidR="00876613" w:rsidRDefault="005C2014">
      <w:r>
        <w:rPr>
          <w:noProof/>
          <w:lang w:eastAsia="en-GB"/>
        </w:rPr>
        <mc:AlternateContent>
          <mc:Choice Requires="wps">
            <w:drawing>
              <wp:anchor distT="0" distB="0" distL="114300" distR="114300" simplePos="0" relativeHeight="251659264" behindDoc="0" locked="0" layoutInCell="1" allowOverlap="1" wp14:anchorId="761E117A" wp14:editId="7A917106">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DB4D0" w14:textId="77777777" w:rsidR="005C2014" w:rsidRPr="00772CBF" w:rsidRDefault="005C2014">
                            <w:pPr>
                              <w:rPr>
                                <w:sz w:val="24"/>
                                <w:szCs w:val="24"/>
                              </w:rPr>
                            </w:pPr>
                            <w:r w:rsidRPr="00772CBF">
                              <w:rPr>
                                <w:sz w:val="24"/>
                                <w:szCs w:val="24"/>
                              </w:rPr>
                              <w:t xml:space="preserve">2 Week Independent Learning plan </w:t>
                            </w:r>
                          </w:p>
                          <w:p w14:paraId="1EFE6B0D" w14:textId="77777777"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E117A"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" filled="f" strokeweight=".5pt">
                <v:textbox>
                  <w:txbxContent>
                    <w:p w14:paraId="2CADB4D0" w14:textId="77777777" w:rsidR="005C2014" w:rsidRPr="00772CBF" w:rsidRDefault="005C2014">
                      <w:pPr>
                        <w:rPr>
                          <w:sz w:val="24"/>
                          <w:szCs w:val="24"/>
                        </w:rPr>
                      </w:pPr>
                      <w:r w:rsidRPr="00772CBF">
                        <w:rPr>
                          <w:sz w:val="24"/>
                          <w:szCs w:val="24"/>
                        </w:rPr>
                        <w:t xml:space="preserve">2 Week Independent Learning plan </w:t>
                      </w:r>
                    </w:p>
                    <w:p w14:paraId="1EFE6B0D" w14:textId="77777777"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38A9EF30" wp14:editId="6A49CF97">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6E51EC">
        <w:t xml:space="preserve"> Child Development</w:t>
      </w:r>
      <w:r>
        <w:tab/>
      </w:r>
      <w:r>
        <w:tab/>
      </w:r>
    </w:p>
    <w:p w14:paraId="0B8FBDD8" w14:textId="2264BE68" w:rsidR="005C2014" w:rsidRDefault="005C2014">
      <w:r>
        <w:t>Teacher:</w:t>
      </w:r>
      <w:r w:rsidR="006E51EC">
        <w:t xml:space="preserve"> </w:t>
      </w:r>
      <w:proofErr w:type="spellStart"/>
      <w:proofErr w:type="gramStart"/>
      <w:r w:rsidR="006E51EC">
        <w:t>J.Williams</w:t>
      </w:r>
      <w:proofErr w:type="spellEnd"/>
      <w:proofErr w:type="gramEnd"/>
    </w:p>
    <w:p w14:paraId="2472AC7C" w14:textId="645BD797" w:rsidR="005C2014" w:rsidRDefault="005C2014">
      <w:r>
        <w:t>Year:</w:t>
      </w:r>
      <w:r w:rsidR="00772CBF">
        <w:tab/>
      </w:r>
      <w:r w:rsidR="009566B5">
        <w:t>11</w:t>
      </w:r>
      <w:r w:rsidR="00772CBF">
        <w:tab/>
      </w:r>
      <w:r w:rsidR="00772CBF">
        <w:tab/>
      </w:r>
      <w:r w:rsidR="00772CBF">
        <w:tab/>
        <w:t>Topic/theme:</w:t>
      </w:r>
      <w:r w:rsidR="006E51EC">
        <w:t xml:space="preserve"> </w:t>
      </w:r>
      <w:r w:rsidR="009566B5">
        <w:t>Completing Coursework</w:t>
      </w:r>
    </w:p>
    <w:tbl>
      <w:tblPr>
        <w:tblStyle w:val="TableGrid"/>
        <w:tblW w:w="15526" w:type="dxa"/>
        <w:tblLook w:val="04A0" w:firstRow="1" w:lastRow="0" w:firstColumn="1" w:lastColumn="0" w:noHBand="0" w:noVBand="1"/>
      </w:tblPr>
      <w:tblGrid>
        <w:gridCol w:w="967"/>
        <w:gridCol w:w="5719"/>
        <w:gridCol w:w="4957"/>
        <w:gridCol w:w="3883"/>
      </w:tblGrid>
      <w:tr w:rsidR="005C2014" w14:paraId="4A404E1A" w14:textId="77777777" w:rsidTr="005C2014">
        <w:trPr>
          <w:trHeight w:val="611"/>
        </w:trPr>
        <w:tc>
          <w:tcPr>
            <w:tcW w:w="967" w:type="dxa"/>
          </w:tcPr>
          <w:p w14:paraId="5E4FE08B" w14:textId="77777777" w:rsidR="005C2014" w:rsidRDefault="005C2014">
            <w:r>
              <w:t xml:space="preserve">Lesson </w:t>
            </w:r>
          </w:p>
        </w:tc>
        <w:tc>
          <w:tcPr>
            <w:tcW w:w="5719" w:type="dxa"/>
          </w:tcPr>
          <w:p w14:paraId="396629FC" w14:textId="77777777" w:rsidR="005C2014" w:rsidRDefault="005C2014" w:rsidP="005C2014">
            <w:r>
              <w:t>What you need to take fr</w:t>
            </w:r>
            <w:r w:rsidR="00E30D30">
              <w:t>o</w:t>
            </w:r>
            <w:r>
              <w:t xml:space="preserve">m this lesson </w:t>
            </w:r>
          </w:p>
        </w:tc>
        <w:tc>
          <w:tcPr>
            <w:tcW w:w="4957" w:type="dxa"/>
          </w:tcPr>
          <w:p w14:paraId="1F657B32" w14:textId="77777777" w:rsidR="005C2014" w:rsidRDefault="005C2014">
            <w:r>
              <w:t>Resource to use or hyperlink</w:t>
            </w:r>
          </w:p>
        </w:tc>
        <w:tc>
          <w:tcPr>
            <w:tcW w:w="3883" w:type="dxa"/>
          </w:tcPr>
          <w:p w14:paraId="1333EE0E" w14:textId="77777777" w:rsidR="005C2014" w:rsidRDefault="005C2014">
            <w:r>
              <w:t xml:space="preserve">Suggested task </w:t>
            </w:r>
          </w:p>
        </w:tc>
      </w:tr>
      <w:tr w:rsidR="005C2014" w14:paraId="271F93E9" w14:textId="77777777" w:rsidTr="005C2014">
        <w:trPr>
          <w:trHeight w:val="1443"/>
        </w:trPr>
        <w:tc>
          <w:tcPr>
            <w:tcW w:w="967" w:type="dxa"/>
          </w:tcPr>
          <w:p w14:paraId="20010C12" w14:textId="77777777" w:rsidR="005C2014" w:rsidRDefault="005C2014" w:rsidP="005C2014">
            <w:pPr>
              <w:jc w:val="center"/>
            </w:pPr>
            <w:r>
              <w:t>1</w:t>
            </w:r>
          </w:p>
        </w:tc>
        <w:tc>
          <w:tcPr>
            <w:tcW w:w="5719" w:type="dxa"/>
          </w:tcPr>
          <w:p w14:paraId="4FD339C7" w14:textId="77777777" w:rsidR="006E51EC" w:rsidRDefault="009566B5">
            <w:r>
              <w:t>Completing RO19 LO4</w:t>
            </w:r>
          </w:p>
          <w:p w14:paraId="774301C6" w14:textId="77777777" w:rsidR="009566B5" w:rsidRDefault="009566B5"/>
          <w:p w14:paraId="6338D319" w14:textId="7EC4BF04" w:rsidR="009566B5" w:rsidRDefault="009566B5">
            <w:r>
              <w:t xml:space="preserve">Answering scenario of feeding solution for </w:t>
            </w:r>
            <w:proofErr w:type="gramStart"/>
            <w:r>
              <w:t>0-6 month old</w:t>
            </w:r>
            <w:proofErr w:type="gramEnd"/>
            <w:r>
              <w:t>.</w:t>
            </w:r>
          </w:p>
        </w:tc>
        <w:tc>
          <w:tcPr>
            <w:tcW w:w="4957" w:type="dxa"/>
          </w:tcPr>
          <w:p w14:paraId="12626030" w14:textId="77777777" w:rsidR="006E51EC" w:rsidRDefault="009566B5">
            <w:r>
              <w:t xml:space="preserve">CW area – Child </w:t>
            </w:r>
            <w:proofErr w:type="spellStart"/>
            <w:r>
              <w:t>Devt</w:t>
            </w:r>
            <w:proofErr w:type="spellEnd"/>
            <w:r>
              <w:t xml:space="preserve"> – Cambridge National – RO19 LO4</w:t>
            </w:r>
          </w:p>
          <w:p w14:paraId="13DDE803" w14:textId="77777777" w:rsidR="009F3D05" w:rsidRDefault="009F3D05"/>
          <w:p w14:paraId="5129CE66" w14:textId="04E74EB4" w:rsidR="009F3D05" w:rsidRDefault="009F3D05">
            <w:hyperlink r:id="rId6" w:history="1">
              <w:r w:rsidRPr="008709CA">
                <w:rPr>
                  <w:rStyle w:val="Hyperlink"/>
                </w:rPr>
                <w:t>https://www.youtube.com/watch?v=cOUIyrau7eU</w:t>
              </w:r>
            </w:hyperlink>
          </w:p>
          <w:p w14:paraId="2E62B887" w14:textId="77777777" w:rsidR="009F3D05" w:rsidRDefault="009F3D05"/>
          <w:p w14:paraId="0575AC38" w14:textId="240223AB" w:rsidR="009F3D05" w:rsidRDefault="009F3D05">
            <w:hyperlink r:id="rId7" w:history="1">
              <w:r w:rsidRPr="008709CA">
                <w:rPr>
                  <w:rStyle w:val="Hyperlink"/>
                </w:rPr>
                <w:t>https://www.youtube.com/watch?v=Lhp4_GY9uL4</w:t>
              </w:r>
            </w:hyperlink>
          </w:p>
          <w:p w14:paraId="160747A4" w14:textId="7A64BB63" w:rsidR="009F3D05" w:rsidRDefault="009F3D05"/>
        </w:tc>
        <w:tc>
          <w:tcPr>
            <w:tcW w:w="3883" w:type="dxa"/>
          </w:tcPr>
          <w:p w14:paraId="1BF99264" w14:textId="77777777" w:rsidR="005C2014" w:rsidRDefault="009566B5">
            <w:r>
              <w:t xml:space="preserve">Complete coursework as per </w:t>
            </w:r>
            <w:proofErr w:type="spellStart"/>
            <w:r>
              <w:t>helpsheet</w:t>
            </w:r>
            <w:proofErr w:type="spellEnd"/>
            <w:r>
              <w:t xml:space="preserve"> in CW area and include step by step pictures of how to make up a bottle and how to sterilise bottles.</w:t>
            </w:r>
          </w:p>
          <w:p w14:paraId="374AD5FD" w14:textId="77777777" w:rsidR="009566B5" w:rsidRDefault="009566B5"/>
          <w:p w14:paraId="222DBB7E" w14:textId="77777777" w:rsidR="009566B5" w:rsidRDefault="009566B5">
            <w:r>
              <w:t>Note – for people who have not done the practical assessment you will only be doing the step by step factsheet, for all other students you will have both step by step factsheet and your own evidence.</w:t>
            </w:r>
          </w:p>
          <w:p w14:paraId="47367F4C" w14:textId="77777777" w:rsidR="009F3D05" w:rsidRDefault="009F3D05"/>
          <w:p w14:paraId="30542516" w14:textId="15983249" w:rsidR="009F3D05" w:rsidRDefault="009F3D05">
            <w:r>
              <w:t>SAVE WORK ON A MEMORY STICK TO BRING TO NEXT LESSON.</w:t>
            </w:r>
          </w:p>
        </w:tc>
      </w:tr>
      <w:tr w:rsidR="005C2014" w14:paraId="5C489F0E" w14:textId="77777777" w:rsidTr="005C2014">
        <w:trPr>
          <w:trHeight w:val="1541"/>
        </w:trPr>
        <w:tc>
          <w:tcPr>
            <w:tcW w:w="967" w:type="dxa"/>
          </w:tcPr>
          <w:p w14:paraId="017A2019" w14:textId="77777777" w:rsidR="005C2014" w:rsidRDefault="005C2014" w:rsidP="005C2014">
            <w:pPr>
              <w:jc w:val="center"/>
            </w:pPr>
            <w:r>
              <w:t>2</w:t>
            </w:r>
          </w:p>
        </w:tc>
        <w:tc>
          <w:tcPr>
            <w:tcW w:w="5719" w:type="dxa"/>
          </w:tcPr>
          <w:p w14:paraId="452E1960" w14:textId="24633422" w:rsidR="005C2014" w:rsidRDefault="009F3D05">
            <w:r>
              <w:t>Improving RO19 LO1 and 2 – Equipment choices for nursery</w:t>
            </w:r>
          </w:p>
        </w:tc>
        <w:tc>
          <w:tcPr>
            <w:tcW w:w="4957" w:type="dxa"/>
          </w:tcPr>
          <w:p w14:paraId="14905DDB" w14:textId="4D14CCB4" w:rsidR="004B598B" w:rsidRDefault="009F3D05" w:rsidP="009566B5">
            <w:r>
              <w:t xml:space="preserve">CW area – Child </w:t>
            </w:r>
            <w:proofErr w:type="spellStart"/>
            <w:r>
              <w:t>Devt</w:t>
            </w:r>
            <w:proofErr w:type="spellEnd"/>
            <w:r>
              <w:t xml:space="preserve"> – Cambridge National – RO19</w:t>
            </w:r>
            <w:r>
              <w:t xml:space="preserve"> – LO1</w:t>
            </w:r>
          </w:p>
        </w:tc>
        <w:tc>
          <w:tcPr>
            <w:tcW w:w="3883" w:type="dxa"/>
          </w:tcPr>
          <w:p w14:paraId="0B142B61" w14:textId="77777777" w:rsidR="009F3D05" w:rsidRDefault="009F3D05">
            <w:r>
              <w:t xml:space="preserve">Add Synoptic Links page </w:t>
            </w:r>
          </w:p>
          <w:p w14:paraId="11B867B3" w14:textId="77777777" w:rsidR="009F3D05" w:rsidRDefault="009F3D05">
            <w:r>
              <w:t xml:space="preserve">What have you learnt in RO18 which has helped you to answer RO19 </w:t>
            </w:r>
            <w:proofErr w:type="spellStart"/>
            <w:r>
              <w:t>eg</w:t>
            </w:r>
            <w:proofErr w:type="spellEnd"/>
            <w:r>
              <w:t xml:space="preserve"> ‘in LO% we learnt about car seat laws so this helped me decide which car seat to </w:t>
            </w:r>
            <w:proofErr w:type="gramStart"/>
            <w:r>
              <w:t>choose.</w:t>
            </w:r>
            <w:proofErr w:type="gramEnd"/>
          </w:p>
          <w:p w14:paraId="3FEE341C" w14:textId="77777777" w:rsidR="009F3D05" w:rsidRDefault="009F3D05"/>
          <w:p w14:paraId="0657885F" w14:textId="1D4A8EB6" w:rsidR="009F3D05" w:rsidRDefault="009F3D05">
            <w:r>
              <w:t xml:space="preserve">SAVE or Email to </w:t>
            </w:r>
            <w:hyperlink r:id="rId8" w:history="1">
              <w:r w:rsidRPr="008709CA">
                <w:rPr>
                  <w:rStyle w:val="Hyperlink"/>
                </w:rPr>
                <w:t>jewilliams@waseleyhills.worcs.sch.uk</w:t>
              </w:r>
            </w:hyperlink>
          </w:p>
          <w:p w14:paraId="016D61AB" w14:textId="7EE3DB0D" w:rsidR="009F3D05" w:rsidRDefault="009F3D05"/>
        </w:tc>
      </w:tr>
      <w:tr w:rsidR="005C2014" w14:paraId="456C8E9E" w14:textId="77777777" w:rsidTr="005C2014">
        <w:trPr>
          <w:trHeight w:val="1541"/>
        </w:trPr>
        <w:tc>
          <w:tcPr>
            <w:tcW w:w="967" w:type="dxa"/>
          </w:tcPr>
          <w:p w14:paraId="690AD64B" w14:textId="77777777" w:rsidR="005C2014" w:rsidRDefault="005C2014" w:rsidP="005C2014">
            <w:pPr>
              <w:jc w:val="center"/>
            </w:pPr>
            <w:r>
              <w:t>3</w:t>
            </w:r>
          </w:p>
        </w:tc>
        <w:tc>
          <w:tcPr>
            <w:tcW w:w="5719" w:type="dxa"/>
          </w:tcPr>
          <w:p w14:paraId="5FCBEA5D" w14:textId="46A75EE2" w:rsidR="00B8084E" w:rsidRDefault="009F3D05" w:rsidP="009566B5">
            <w:r>
              <w:t>Improving RO19 LO1 and 2 – Equipment choices for nursery</w:t>
            </w:r>
          </w:p>
        </w:tc>
        <w:tc>
          <w:tcPr>
            <w:tcW w:w="4957" w:type="dxa"/>
          </w:tcPr>
          <w:p w14:paraId="2CEAD9F0" w14:textId="78321135" w:rsidR="00D967AD" w:rsidRDefault="009F3D05" w:rsidP="009566B5">
            <w:r>
              <w:t xml:space="preserve">CW area – Child </w:t>
            </w:r>
            <w:proofErr w:type="spellStart"/>
            <w:r>
              <w:t>Devt</w:t>
            </w:r>
            <w:proofErr w:type="spellEnd"/>
            <w:r>
              <w:t xml:space="preserve"> – Cambridge National – RO19</w:t>
            </w:r>
            <w:r>
              <w:t xml:space="preserve"> – LO2</w:t>
            </w:r>
          </w:p>
        </w:tc>
        <w:tc>
          <w:tcPr>
            <w:tcW w:w="3883" w:type="dxa"/>
          </w:tcPr>
          <w:p w14:paraId="3F76D4A9" w14:textId="77777777" w:rsidR="005C2014" w:rsidRDefault="009F3D05">
            <w:r>
              <w:t>Add Conclusion page based on feedback from nursery manager.</w:t>
            </w:r>
          </w:p>
          <w:p w14:paraId="712834C1" w14:textId="77777777" w:rsidR="009F3D05" w:rsidRDefault="009F3D05">
            <w:r>
              <w:t xml:space="preserve">Link aspects from presentation to things you are suggesting </w:t>
            </w:r>
            <w:proofErr w:type="spellStart"/>
            <w:r>
              <w:t>eg</w:t>
            </w:r>
            <w:proofErr w:type="spellEnd"/>
            <w:r>
              <w:t xml:space="preserve"> </w:t>
            </w:r>
            <w:proofErr w:type="gramStart"/>
            <w:r>
              <w:t>‘ she</w:t>
            </w:r>
            <w:proofErr w:type="gramEnd"/>
            <w:r>
              <w:t xml:space="preserve"> said that clothing which can be easily taken on </w:t>
            </w:r>
            <w:r>
              <w:lastRenderedPageBreak/>
              <w:t>and off is better for potty training and I have not chosen dungarees’</w:t>
            </w:r>
          </w:p>
          <w:p w14:paraId="04A40CF0" w14:textId="77777777" w:rsidR="009F3D05" w:rsidRDefault="009F3D05"/>
          <w:p w14:paraId="2490F7E8" w14:textId="77777777" w:rsidR="009F3D05" w:rsidRDefault="009F3D05" w:rsidP="009F3D05">
            <w:r>
              <w:t xml:space="preserve">SAVE or Email to </w:t>
            </w:r>
            <w:hyperlink r:id="rId9" w:history="1">
              <w:r w:rsidRPr="008709CA">
                <w:rPr>
                  <w:rStyle w:val="Hyperlink"/>
                </w:rPr>
                <w:t>jewilliams@waseleyhills.worcs.sch.uk</w:t>
              </w:r>
            </w:hyperlink>
          </w:p>
          <w:p w14:paraId="48B79218" w14:textId="2E7CCBD2" w:rsidR="009F3D05" w:rsidRDefault="009F3D05"/>
        </w:tc>
      </w:tr>
      <w:tr w:rsidR="005C2014" w14:paraId="4B4AF992" w14:textId="77777777" w:rsidTr="005C2014">
        <w:trPr>
          <w:trHeight w:val="1443"/>
        </w:trPr>
        <w:tc>
          <w:tcPr>
            <w:tcW w:w="967" w:type="dxa"/>
          </w:tcPr>
          <w:p w14:paraId="70A80C73" w14:textId="77777777" w:rsidR="005C2014" w:rsidRDefault="005C2014" w:rsidP="005C2014">
            <w:pPr>
              <w:jc w:val="center"/>
            </w:pPr>
            <w:r>
              <w:lastRenderedPageBreak/>
              <w:t>4</w:t>
            </w:r>
          </w:p>
        </w:tc>
        <w:tc>
          <w:tcPr>
            <w:tcW w:w="5719" w:type="dxa"/>
          </w:tcPr>
          <w:p w14:paraId="79F29BCC" w14:textId="293D19D3" w:rsidR="005C2014" w:rsidRDefault="009F3D05" w:rsidP="009566B5">
            <w:r>
              <w:t>Improve RO20 LO2 – Types of Play</w:t>
            </w:r>
          </w:p>
        </w:tc>
        <w:tc>
          <w:tcPr>
            <w:tcW w:w="4957" w:type="dxa"/>
          </w:tcPr>
          <w:p w14:paraId="6B4FE368" w14:textId="42656AD0" w:rsidR="005C2014" w:rsidRDefault="009F3D05">
            <w:r>
              <w:t>Access your work on school computer system</w:t>
            </w:r>
          </w:p>
        </w:tc>
        <w:tc>
          <w:tcPr>
            <w:tcW w:w="3883" w:type="dxa"/>
          </w:tcPr>
          <w:p w14:paraId="78643DA1" w14:textId="77777777" w:rsidR="00B8084E" w:rsidRDefault="009F3D05" w:rsidP="009566B5">
            <w:r>
              <w:t>Produce notes you would use to go alongside the presentation.</w:t>
            </w:r>
          </w:p>
          <w:p w14:paraId="02779BC7" w14:textId="77777777" w:rsidR="009F3D05" w:rsidRDefault="009F3D05" w:rsidP="009566B5"/>
          <w:p w14:paraId="72D4082F" w14:textId="53B30FB4" w:rsidR="009F3D05" w:rsidRDefault="009F3D05" w:rsidP="009566B5">
            <w:r>
              <w:t>On slide xx I will discuss xxx because the creche workers need to understand xxx</w:t>
            </w:r>
          </w:p>
        </w:tc>
      </w:tr>
      <w:tr w:rsidR="005C2014" w14:paraId="45D81D3F" w14:textId="77777777" w:rsidTr="005C2014">
        <w:trPr>
          <w:trHeight w:val="1639"/>
        </w:trPr>
        <w:tc>
          <w:tcPr>
            <w:tcW w:w="967" w:type="dxa"/>
          </w:tcPr>
          <w:p w14:paraId="165531AE" w14:textId="77777777" w:rsidR="005C2014" w:rsidRDefault="005C2014" w:rsidP="005C2014">
            <w:pPr>
              <w:jc w:val="center"/>
            </w:pPr>
            <w:r>
              <w:t>5</w:t>
            </w:r>
          </w:p>
        </w:tc>
        <w:tc>
          <w:tcPr>
            <w:tcW w:w="5719" w:type="dxa"/>
          </w:tcPr>
          <w:p w14:paraId="06E53CBA" w14:textId="4B00B2A8" w:rsidR="005C2014" w:rsidRDefault="005C2014"/>
          <w:p w14:paraId="5D5F994E" w14:textId="47713A6A" w:rsidR="004B598B" w:rsidRDefault="009F3D05">
            <w:r>
              <w:t>Make front pages for each piece of Coursework</w:t>
            </w:r>
          </w:p>
        </w:tc>
        <w:tc>
          <w:tcPr>
            <w:tcW w:w="4957" w:type="dxa"/>
          </w:tcPr>
          <w:p w14:paraId="133AC780" w14:textId="7070F4E5" w:rsidR="001D7B2C" w:rsidRDefault="001D7B2C">
            <w:hyperlink r:id="rId10" w:history="1">
              <w:r w:rsidRPr="008709CA">
                <w:rPr>
                  <w:rStyle w:val="Hyperlink"/>
                </w:rPr>
                <w:t>https://www.ocr.org.uk/Images/264237-centre-handbook.pdf</w:t>
              </w:r>
            </w:hyperlink>
          </w:p>
          <w:p w14:paraId="3AA2E138" w14:textId="77777777" w:rsidR="001D7B2C" w:rsidRDefault="001D7B2C"/>
          <w:p w14:paraId="2B26C300" w14:textId="77777777" w:rsidR="001D7B2C" w:rsidRDefault="001D7B2C"/>
          <w:p w14:paraId="04AC7401" w14:textId="51044062" w:rsidR="004B598B" w:rsidRDefault="009F3D05">
            <w:r>
              <w:t>RO19 LO1</w:t>
            </w:r>
          </w:p>
          <w:p w14:paraId="4B8FD2A8" w14:textId="190BC30F" w:rsidR="009F3D05" w:rsidRDefault="009F3D05">
            <w:r>
              <w:t>RO19 LO2</w:t>
            </w:r>
          </w:p>
          <w:p w14:paraId="13E753D2" w14:textId="7346D05E" w:rsidR="009F3D05" w:rsidRDefault="009F3D05">
            <w:r>
              <w:t>RO19 LO3</w:t>
            </w:r>
          </w:p>
          <w:p w14:paraId="0A4A46BF" w14:textId="77777777" w:rsidR="009F3D05" w:rsidRDefault="009F3D05">
            <w:r>
              <w:t>RO19 LO4</w:t>
            </w:r>
          </w:p>
          <w:p w14:paraId="096F7D08" w14:textId="77777777" w:rsidR="009F3D05" w:rsidRDefault="009F3D05">
            <w:r>
              <w:t>RO20 LO1</w:t>
            </w:r>
          </w:p>
          <w:p w14:paraId="08141FC7" w14:textId="77777777" w:rsidR="009F3D05" w:rsidRDefault="009F3D05">
            <w:r>
              <w:t>RO20 LO2</w:t>
            </w:r>
          </w:p>
          <w:p w14:paraId="37892EE9" w14:textId="6181E000" w:rsidR="009F3D05" w:rsidRDefault="009F3D05">
            <w:r>
              <w:t>RO20 LO3 &amp;4</w:t>
            </w:r>
          </w:p>
        </w:tc>
        <w:tc>
          <w:tcPr>
            <w:tcW w:w="3883" w:type="dxa"/>
          </w:tcPr>
          <w:p w14:paraId="24D977DD" w14:textId="0C808F6D" w:rsidR="005C2014" w:rsidRDefault="009F3D05">
            <w:r>
              <w:t>Candidate name and number and unit of work and suitable pictures.</w:t>
            </w:r>
          </w:p>
        </w:tc>
      </w:tr>
    </w:tbl>
    <w:p w14:paraId="0EE6CA10" w14:textId="77777777" w:rsidR="005C2014" w:rsidRDefault="005C2014">
      <w:r>
        <w:t xml:space="preserve">Don’t forget you can access the school drives and resources form the school website: </w:t>
      </w:r>
      <w:hyperlink r:id="rId11" w:history="1">
        <w:r>
          <w:rPr>
            <w:rStyle w:val="Hyperlink"/>
          </w:rPr>
          <w:t>https://www.waseleyhills.worcs.sch.uk/</w:t>
        </w:r>
      </w:hyperlink>
    </w:p>
    <w:p w14:paraId="46E288ED" w14:textId="77777777" w:rsidR="00E30D30" w:rsidRPr="00005F7F" w:rsidRDefault="00E30D30">
      <w:pPr>
        <w:rPr>
          <w:sz w:val="28"/>
          <w:szCs w:val="28"/>
        </w:rPr>
      </w:pPr>
      <w:r w:rsidRPr="00005F7F">
        <w:rPr>
          <w:sz w:val="28"/>
          <w:szCs w:val="28"/>
        </w:rPr>
        <w:t>Staff Guidance:</w:t>
      </w:r>
    </w:p>
    <w:p w14:paraId="7BABC004" w14:textId="77777777"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14:paraId="06F24414" w14:textId="77777777"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14:paraId="172A7907" w14:textId="77777777" w:rsidR="00005F7F" w:rsidRDefault="00005F7F">
      <w:pPr>
        <w:rPr>
          <w:b/>
          <w:sz w:val="28"/>
          <w:szCs w:val="28"/>
          <w:u w:val="single"/>
        </w:rPr>
      </w:pPr>
    </w:p>
    <w:p w14:paraId="5371B924" w14:textId="77777777"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14:paraId="4CD86B60" w14:textId="77777777" w:rsidR="00A24991" w:rsidRDefault="00A24991">
      <w:pPr>
        <w:rPr>
          <w:sz w:val="28"/>
          <w:szCs w:val="28"/>
        </w:rPr>
      </w:pPr>
      <w:r>
        <w:rPr>
          <w:sz w:val="28"/>
          <w:szCs w:val="28"/>
        </w:rPr>
        <w:lastRenderedPageBreak/>
        <w:t xml:space="preserve">We have developed a simple template to help set independent work quickly and in a structure that is simple for pupils to understand. Please see the attached sheet and follow the instructions should we close. </w:t>
      </w:r>
    </w:p>
    <w:p w14:paraId="259C1ECA" w14:textId="77777777"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14:paraId="7155E7D9" w14:textId="77777777"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14:paraId="07AC6014" w14:textId="77777777"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14:paraId="7AEE96A2" w14:textId="77777777"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14:paraId="2E15CDF9" w14:textId="77777777"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14:paraId="158B8C85" w14:textId="77777777"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14:paraId="259A9399" w14:textId="77777777"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14:paraId="361D20C9" w14:textId="77777777"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14:paraId="167F8E72" w14:textId="77777777" w:rsidR="00005F7F" w:rsidRDefault="00005F7F" w:rsidP="00005F7F">
      <w:pPr>
        <w:rPr>
          <w:sz w:val="28"/>
          <w:szCs w:val="28"/>
        </w:rPr>
      </w:pPr>
    </w:p>
    <w:p w14:paraId="36887392" w14:textId="77777777" w:rsidR="00005F7F" w:rsidRPr="00005F7F" w:rsidRDefault="00005F7F" w:rsidP="00005F7F">
      <w:pPr>
        <w:rPr>
          <w:sz w:val="28"/>
          <w:szCs w:val="28"/>
        </w:rPr>
      </w:pPr>
    </w:p>
    <w:p w14:paraId="2BC67ECF" w14:textId="77777777" w:rsidR="00005F7F" w:rsidRPr="00005F7F" w:rsidRDefault="00005F7F" w:rsidP="00005F7F">
      <w:pPr>
        <w:rPr>
          <w:sz w:val="28"/>
          <w:szCs w:val="28"/>
        </w:rPr>
      </w:pPr>
    </w:p>
    <w:p w14:paraId="78FB8BB6" w14:textId="77777777" w:rsidR="00E30D30" w:rsidRPr="00005F7F" w:rsidRDefault="00E30D30" w:rsidP="00E30D30">
      <w:pPr>
        <w:rPr>
          <w:sz w:val="28"/>
          <w:szCs w:val="28"/>
        </w:rPr>
      </w:pPr>
    </w:p>
    <w:p w14:paraId="652BAE04" w14:textId="77777777" w:rsidR="00E30D30" w:rsidRDefault="00E30D30" w:rsidP="00E30D30"/>
    <w:p w14:paraId="57BFB4AE" w14:textId="77777777" w:rsidR="00E30D30" w:rsidRDefault="00E30D30" w:rsidP="00E30D30"/>
    <w:p w14:paraId="70836042" w14:textId="77777777" w:rsidR="00E30D30" w:rsidRDefault="00E30D30"/>
    <w:p w14:paraId="7B10B723" w14:textId="77777777" w:rsidR="00E30D30" w:rsidRDefault="00E30D30"/>
    <w:p w14:paraId="4B4EC0F6" w14:textId="77777777" w:rsidR="00E30D30" w:rsidRDefault="00E30D30"/>
    <w:p w14:paraId="274D71F7" w14:textId="77777777" w:rsidR="00E30D30" w:rsidRDefault="00E30D30"/>
    <w:p w14:paraId="6119C6FA" w14:textId="77777777" w:rsidR="00E30D30" w:rsidRDefault="00E30D30"/>
    <w:p w14:paraId="34F35224" w14:textId="77777777" w:rsidR="00E30D30" w:rsidRDefault="00E30D30"/>
    <w:p w14:paraId="75A30970" w14:textId="77777777" w:rsidR="00E30D30" w:rsidRDefault="00E30D30"/>
    <w:p w14:paraId="0AAE1024" w14:textId="77777777" w:rsidR="00E30D30" w:rsidRDefault="00E30D30"/>
    <w:p w14:paraId="52ADF1B2" w14:textId="77777777"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62625"/>
    <w:rsid w:val="000D66CC"/>
    <w:rsid w:val="00117936"/>
    <w:rsid w:val="00187F55"/>
    <w:rsid w:val="001C45CD"/>
    <w:rsid w:val="001D7B2C"/>
    <w:rsid w:val="00234EF1"/>
    <w:rsid w:val="00261449"/>
    <w:rsid w:val="004B598B"/>
    <w:rsid w:val="00551ADB"/>
    <w:rsid w:val="005C00EF"/>
    <w:rsid w:val="005C2014"/>
    <w:rsid w:val="005E0023"/>
    <w:rsid w:val="006E51EC"/>
    <w:rsid w:val="00772CBF"/>
    <w:rsid w:val="007A77F7"/>
    <w:rsid w:val="00876613"/>
    <w:rsid w:val="008942FE"/>
    <w:rsid w:val="009566B5"/>
    <w:rsid w:val="009651A3"/>
    <w:rsid w:val="009F3D05"/>
    <w:rsid w:val="00A24991"/>
    <w:rsid w:val="00B8084E"/>
    <w:rsid w:val="00C47238"/>
    <w:rsid w:val="00CE0732"/>
    <w:rsid w:val="00D967AD"/>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4EE7"/>
  <w15:docId w15:val="{169DC3BF-5352-134B-92B3-11878BF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UnresolvedMention">
    <w:name w:val="Unresolved Mention"/>
    <w:basedOn w:val="DefaultParagraphFont"/>
    <w:uiPriority w:val="99"/>
    <w:semiHidden/>
    <w:unhideWhenUsed/>
    <w:rsid w:val="006E5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8661">
      <w:bodyDiv w:val="1"/>
      <w:marLeft w:val="0"/>
      <w:marRight w:val="0"/>
      <w:marTop w:val="0"/>
      <w:marBottom w:val="0"/>
      <w:divBdr>
        <w:top w:val="none" w:sz="0" w:space="0" w:color="auto"/>
        <w:left w:val="none" w:sz="0" w:space="0" w:color="auto"/>
        <w:bottom w:val="none" w:sz="0" w:space="0" w:color="auto"/>
        <w:right w:val="none" w:sz="0" w:space="0" w:color="auto"/>
      </w:divBdr>
      <w:divsChild>
        <w:div w:id="421030496">
          <w:marLeft w:val="0"/>
          <w:marRight w:val="0"/>
          <w:marTop w:val="0"/>
          <w:marBottom w:val="0"/>
          <w:divBdr>
            <w:top w:val="none" w:sz="0" w:space="0" w:color="auto"/>
            <w:left w:val="none" w:sz="0" w:space="0" w:color="auto"/>
            <w:bottom w:val="none" w:sz="0" w:space="0" w:color="auto"/>
            <w:right w:val="none" w:sz="0" w:space="0" w:color="auto"/>
          </w:divBdr>
        </w:div>
      </w:divsChild>
    </w:div>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williams@waseleyhills.wor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hp4_GY9uL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OUIyrau7eU" TargetMode="External"/><Relationship Id="rId11" Type="http://schemas.openxmlformats.org/officeDocument/2006/relationships/hyperlink" Target="https://www.waseleyhills.worcs.sch.uk/" TargetMode="External"/><Relationship Id="rId5" Type="http://schemas.openxmlformats.org/officeDocument/2006/relationships/image" Target="media/image1.jpeg"/><Relationship Id="rId10" Type="http://schemas.openxmlformats.org/officeDocument/2006/relationships/hyperlink" Target="https://www.ocr.org.uk/Images/264237-centre-handbook.pdf" TargetMode="External"/><Relationship Id="rId4" Type="http://schemas.openxmlformats.org/officeDocument/2006/relationships/webSettings" Target="webSettings.xml"/><Relationship Id="rId9" Type="http://schemas.openxmlformats.org/officeDocument/2006/relationships/hyperlink" Target="mailto:jewilliams@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Joce Williams</cp:lastModifiedBy>
  <cp:revision>2</cp:revision>
  <cp:lastPrinted>2020-03-13T16:13:00Z</cp:lastPrinted>
  <dcterms:created xsi:type="dcterms:W3CDTF">2020-03-17T18:35:00Z</dcterms:created>
  <dcterms:modified xsi:type="dcterms:W3CDTF">2020-03-17T18:35:00Z</dcterms:modified>
</cp:coreProperties>
</file>