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DD4E" w14:textId="04F723E8" w:rsidR="00B60807" w:rsidRDefault="00C15D29" w:rsidP="00C15D29">
      <w:pPr>
        <w:jc w:val="center"/>
      </w:pPr>
      <w:r>
        <w:rPr>
          <w:noProof/>
        </w:rPr>
        <w:drawing>
          <wp:inline distT="0" distB="0" distL="0" distR="0" wp14:anchorId="121CAA65" wp14:editId="3F388898">
            <wp:extent cx="2545492" cy="725588"/>
            <wp:effectExtent l="0" t="0" r="7620" b="0"/>
            <wp:docPr id="2139318809" name="Picture 1" descr="West Kidlington Primary &amp;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Kidlington Primary &amp; Nurse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870" cy="729972"/>
                    </a:xfrm>
                    <a:prstGeom prst="rect">
                      <a:avLst/>
                    </a:prstGeom>
                    <a:noFill/>
                    <a:ln>
                      <a:noFill/>
                    </a:ln>
                  </pic:spPr>
                </pic:pic>
              </a:graphicData>
            </a:graphic>
          </wp:inline>
        </w:drawing>
      </w:r>
    </w:p>
    <w:p w14:paraId="01971BC3" w14:textId="251EA42B" w:rsidR="00C15D29" w:rsidRPr="00C15D29" w:rsidRDefault="00C15D29" w:rsidP="00C15D29">
      <w:pPr>
        <w:jc w:val="center"/>
        <w:rPr>
          <w:b/>
          <w:bCs/>
          <w:sz w:val="32"/>
          <w:szCs w:val="32"/>
        </w:rPr>
      </w:pPr>
      <w:r w:rsidRPr="00C15D29">
        <w:rPr>
          <w:b/>
          <w:bCs/>
          <w:sz w:val="32"/>
          <w:szCs w:val="32"/>
        </w:rPr>
        <w:t>MATHS AT WEST KIDLINGTON PRIMARY SCHOOL</w:t>
      </w:r>
    </w:p>
    <w:p w14:paraId="6D09B32F" w14:textId="0FF924DE" w:rsidR="00C15D29" w:rsidRDefault="00C15D29" w:rsidP="00C15D29">
      <w:pPr>
        <w:jc w:val="center"/>
        <w:rPr>
          <w:b/>
          <w:bCs/>
          <w:sz w:val="28"/>
          <w:szCs w:val="28"/>
        </w:rPr>
      </w:pPr>
      <w:r w:rsidRPr="00C15D29">
        <w:rPr>
          <w:b/>
          <w:bCs/>
          <w:sz w:val="28"/>
          <w:szCs w:val="28"/>
        </w:rPr>
        <w:t>Intent, Implementation and Impact Statement</w:t>
      </w:r>
    </w:p>
    <w:p w14:paraId="246F91AB" w14:textId="77C5534D" w:rsidR="00C15D29" w:rsidRDefault="00DE002B" w:rsidP="00C15D29">
      <w:pPr>
        <w:jc w:val="both"/>
        <w:rPr>
          <w:sz w:val="24"/>
          <w:szCs w:val="24"/>
        </w:rPr>
      </w:pPr>
      <w:r>
        <w:rPr>
          <w:sz w:val="24"/>
          <w:szCs w:val="24"/>
        </w:rPr>
        <w:t>Maths</w:t>
      </w:r>
      <w:r w:rsidR="00C15D29" w:rsidRPr="00C15D29">
        <w:rPr>
          <w:sz w:val="24"/>
          <w:szCs w:val="24"/>
        </w:rPr>
        <w:t xml:space="preserve"> is an important</w:t>
      </w:r>
      <w:r w:rsidR="00C15D29">
        <w:rPr>
          <w:sz w:val="24"/>
          <w:szCs w:val="24"/>
        </w:rPr>
        <w:t xml:space="preserve"> creative </w:t>
      </w:r>
      <w:r>
        <w:rPr>
          <w:sz w:val="24"/>
          <w:szCs w:val="24"/>
        </w:rPr>
        <w:t>discipline</w:t>
      </w:r>
      <w:r w:rsidR="00C15D29">
        <w:rPr>
          <w:sz w:val="24"/>
          <w:szCs w:val="24"/>
        </w:rPr>
        <w:t xml:space="preserve"> that helps us to understand and change the world.  We want all pupils at West Kidlington Primary School to experience the beauty, power and enjoyments of maths and develop a sense of curiosity about the subject.</w:t>
      </w:r>
    </w:p>
    <w:p w14:paraId="43FF6EF5" w14:textId="6819AB1B" w:rsidR="00C15D29" w:rsidRDefault="00C15D29" w:rsidP="00DE002B">
      <w:pPr>
        <w:jc w:val="both"/>
        <w:rPr>
          <w:sz w:val="24"/>
          <w:szCs w:val="24"/>
        </w:rPr>
      </w:pPr>
      <w:r>
        <w:rPr>
          <w:sz w:val="24"/>
          <w:szCs w:val="24"/>
        </w:rPr>
        <w:t>At West Kidlington, we foster positive ‘can do’ attitudes, believe all children can achieve and teach for a secure and deep understanding of mathematical concepts.  We us</w:t>
      </w:r>
      <w:r w:rsidR="00DE002B">
        <w:rPr>
          <w:sz w:val="24"/>
          <w:szCs w:val="24"/>
        </w:rPr>
        <w:t>e</w:t>
      </w:r>
      <w:r>
        <w:rPr>
          <w:sz w:val="24"/>
          <w:szCs w:val="24"/>
        </w:rPr>
        <w:t xml:space="preserve"> mistakes and misconceptions as an essential part of learning and provide challenge through rich and sophisticated problems before acceleration through new content.</w:t>
      </w:r>
    </w:p>
    <w:p w14:paraId="4A5046D0" w14:textId="2D1FA8A4" w:rsidR="00C15D29" w:rsidRDefault="00C15D29" w:rsidP="00DE002B">
      <w:pPr>
        <w:jc w:val="both"/>
        <w:rPr>
          <w:b/>
          <w:bCs/>
          <w:sz w:val="24"/>
          <w:szCs w:val="24"/>
        </w:rPr>
      </w:pPr>
      <w:r>
        <w:rPr>
          <w:b/>
          <w:bCs/>
          <w:sz w:val="24"/>
          <w:szCs w:val="24"/>
        </w:rPr>
        <w:t>Curriculum Intent</w:t>
      </w:r>
    </w:p>
    <w:p w14:paraId="4D813906" w14:textId="77777777" w:rsidR="00C15D29" w:rsidRPr="00C15D29" w:rsidRDefault="00C15D29" w:rsidP="00DE002B">
      <w:pPr>
        <w:tabs>
          <w:tab w:val="left" w:pos="0"/>
        </w:tabs>
        <w:spacing w:after="0" w:line="240" w:lineRule="auto"/>
        <w:contextualSpacing/>
        <w:jc w:val="both"/>
        <w:rPr>
          <w:rFonts w:cstheme="minorHAnsi"/>
          <w:bCs/>
          <w:sz w:val="24"/>
          <w:szCs w:val="16"/>
        </w:rPr>
      </w:pPr>
      <w:r w:rsidRPr="00C15D29">
        <w:rPr>
          <w:rFonts w:cstheme="minorHAnsi"/>
          <w:bCs/>
          <w:sz w:val="24"/>
          <w:szCs w:val="16"/>
        </w:rPr>
        <w:t>We aim for all pupils to:</w:t>
      </w:r>
    </w:p>
    <w:p w14:paraId="71756AFA" w14:textId="77777777" w:rsidR="00C15D29" w:rsidRPr="00C15D29" w:rsidRDefault="00C15D29" w:rsidP="00DE002B">
      <w:pPr>
        <w:numPr>
          <w:ilvl w:val="0"/>
          <w:numId w:val="1"/>
        </w:numPr>
        <w:tabs>
          <w:tab w:val="left" w:pos="0"/>
        </w:tabs>
        <w:spacing w:after="0" w:line="240" w:lineRule="auto"/>
        <w:contextualSpacing/>
        <w:jc w:val="both"/>
        <w:rPr>
          <w:rFonts w:cstheme="minorHAnsi"/>
          <w:sz w:val="24"/>
          <w:szCs w:val="16"/>
        </w:rPr>
      </w:pPr>
      <w:r w:rsidRPr="00C15D29">
        <w:rPr>
          <w:rFonts w:cstheme="minorHAnsi"/>
          <w:sz w:val="24"/>
          <w:szCs w:val="16"/>
        </w:rPr>
        <w:t>Become fluent in the fundamentals of mathematics so that they develop conceptual understanding and the ability to recall and apply knowledge rapidly and accurately.</w:t>
      </w:r>
    </w:p>
    <w:p w14:paraId="4095E3D1" w14:textId="77777777" w:rsidR="00C15D29" w:rsidRPr="00C15D29" w:rsidRDefault="00C15D29" w:rsidP="00DE002B">
      <w:pPr>
        <w:numPr>
          <w:ilvl w:val="0"/>
          <w:numId w:val="1"/>
        </w:numPr>
        <w:tabs>
          <w:tab w:val="left" w:pos="0"/>
        </w:tabs>
        <w:spacing w:after="0" w:line="240" w:lineRule="auto"/>
        <w:contextualSpacing/>
        <w:jc w:val="both"/>
        <w:rPr>
          <w:rFonts w:cstheme="minorHAnsi"/>
          <w:sz w:val="24"/>
          <w:szCs w:val="16"/>
        </w:rPr>
      </w:pPr>
      <w:r w:rsidRPr="00C15D29">
        <w:rPr>
          <w:rFonts w:cstheme="minorHAnsi"/>
          <w:sz w:val="24"/>
          <w:szCs w:val="16"/>
        </w:rPr>
        <w:t>Can solve problems by applying their mathematics to a variety of problems with increasing sophistication, including in unfamiliar contexts and to model real-life scenarios.</w:t>
      </w:r>
    </w:p>
    <w:p w14:paraId="5151B173" w14:textId="77777777" w:rsidR="00C15D29" w:rsidRPr="00C15D29" w:rsidRDefault="00C15D29" w:rsidP="00DE002B">
      <w:pPr>
        <w:numPr>
          <w:ilvl w:val="0"/>
          <w:numId w:val="1"/>
        </w:numPr>
        <w:tabs>
          <w:tab w:val="left" w:pos="0"/>
        </w:tabs>
        <w:spacing w:after="0" w:line="240" w:lineRule="auto"/>
        <w:contextualSpacing/>
        <w:jc w:val="both"/>
        <w:rPr>
          <w:rFonts w:cstheme="minorHAnsi"/>
          <w:sz w:val="24"/>
          <w:szCs w:val="16"/>
        </w:rPr>
      </w:pPr>
      <w:r w:rsidRPr="00C15D29">
        <w:rPr>
          <w:rFonts w:cstheme="minorHAnsi"/>
          <w:sz w:val="24"/>
          <w:szCs w:val="16"/>
        </w:rPr>
        <w:t>Can reason mathematically by following a line of enquiry and develop and present a justification, argument or proof using mathematical language.</w:t>
      </w:r>
    </w:p>
    <w:p w14:paraId="46117187" w14:textId="77777777" w:rsidR="00C15D29" w:rsidRDefault="00C15D29" w:rsidP="00DE002B">
      <w:pPr>
        <w:numPr>
          <w:ilvl w:val="0"/>
          <w:numId w:val="1"/>
        </w:numPr>
        <w:tabs>
          <w:tab w:val="left" w:pos="0"/>
        </w:tabs>
        <w:spacing w:after="0" w:line="240" w:lineRule="auto"/>
        <w:contextualSpacing/>
        <w:jc w:val="both"/>
        <w:rPr>
          <w:rFonts w:cstheme="minorHAnsi"/>
          <w:sz w:val="24"/>
          <w:szCs w:val="16"/>
        </w:rPr>
      </w:pPr>
      <w:r w:rsidRPr="00C15D29">
        <w:rPr>
          <w:rFonts w:cstheme="minorHAnsi"/>
          <w:sz w:val="24"/>
          <w:szCs w:val="16"/>
        </w:rPr>
        <w:t>Have an appreciation of number and number operations, which enables mental calculations and written procedures to be performed efficiently, fluently and accurately to be successful in mathematics.</w:t>
      </w:r>
    </w:p>
    <w:p w14:paraId="2BCC7088" w14:textId="77777777" w:rsidR="00C15D29" w:rsidRDefault="00C15D29" w:rsidP="00DE002B">
      <w:pPr>
        <w:tabs>
          <w:tab w:val="left" w:pos="0"/>
        </w:tabs>
        <w:spacing w:after="0" w:line="240" w:lineRule="auto"/>
        <w:ind w:left="360"/>
        <w:contextualSpacing/>
        <w:jc w:val="both"/>
        <w:rPr>
          <w:rFonts w:cstheme="minorHAnsi"/>
          <w:sz w:val="24"/>
          <w:szCs w:val="16"/>
        </w:rPr>
      </w:pPr>
    </w:p>
    <w:p w14:paraId="46DF6467" w14:textId="53ADB1D9" w:rsidR="00C15D29" w:rsidRDefault="00C15D29" w:rsidP="00DE002B">
      <w:pPr>
        <w:tabs>
          <w:tab w:val="left" w:pos="0"/>
        </w:tabs>
        <w:spacing w:after="0" w:line="240" w:lineRule="auto"/>
        <w:ind w:left="360"/>
        <w:contextualSpacing/>
        <w:jc w:val="both"/>
        <w:rPr>
          <w:rFonts w:cstheme="minorHAnsi"/>
          <w:sz w:val="24"/>
          <w:szCs w:val="16"/>
        </w:rPr>
      </w:pPr>
      <w:r>
        <w:rPr>
          <w:rFonts w:cstheme="minorHAnsi"/>
          <w:sz w:val="24"/>
          <w:szCs w:val="16"/>
        </w:rPr>
        <w:t xml:space="preserve">To enable our children to develop their skills in Maths, our approach is mapped out from EYFS through to Year 6.  Our approach to teaching </w:t>
      </w:r>
      <w:r w:rsidR="00DE002B">
        <w:rPr>
          <w:rFonts w:cstheme="minorHAnsi"/>
          <w:sz w:val="24"/>
          <w:szCs w:val="16"/>
        </w:rPr>
        <w:t>Maths</w:t>
      </w:r>
      <w:r>
        <w:rPr>
          <w:rFonts w:cstheme="minorHAnsi"/>
          <w:sz w:val="24"/>
          <w:szCs w:val="16"/>
        </w:rPr>
        <w:t xml:space="preserve"> ensures the teaching and learning is progressive in skills, knowledge and understanding between year groups and across the school.  We have daily teacher led Maths </w:t>
      </w:r>
      <w:r w:rsidR="00A1083F">
        <w:rPr>
          <w:rFonts w:cstheme="minorHAnsi"/>
          <w:sz w:val="24"/>
          <w:szCs w:val="16"/>
        </w:rPr>
        <w:t>L</w:t>
      </w:r>
      <w:r>
        <w:rPr>
          <w:rFonts w:cstheme="minorHAnsi"/>
          <w:sz w:val="24"/>
          <w:szCs w:val="16"/>
        </w:rPr>
        <w:t xml:space="preserve">essons as well as daily </w:t>
      </w:r>
      <w:r w:rsidR="00A1083F">
        <w:rPr>
          <w:rFonts w:cstheme="minorHAnsi"/>
          <w:sz w:val="24"/>
          <w:szCs w:val="16"/>
        </w:rPr>
        <w:t>Maths Meeting (Fluency)</w:t>
      </w:r>
      <w:r>
        <w:rPr>
          <w:rFonts w:cstheme="minorHAnsi"/>
          <w:sz w:val="24"/>
          <w:szCs w:val="16"/>
        </w:rPr>
        <w:t xml:space="preserve"> sessions to rehearse or deliberately practise key skills. </w:t>
      </w:r>
    </w:p>
    <w:p w14:paraId="641F040A" w14:textId="77777777" w:rsidR="00C15D29" w:rsidRDefault="00C15D29" w:rsidP="00DE002B">
      <w:pPr>
        <w:tabs>
          <w:tab w:val="left" w:pos="0"/>
        </w:tabs>
        <w:spacing w:after="0" w:line="240" w:lineRule="auto"/>
        <w:ind w:left="360"/>
        <w:contextualSpacing/>
        <w:jc w:val="both"/>
        <w:rPr>
          <w:rFonts w:cstheme="minorHAnsi"/>
          <w:sz w:val="24"/>
          <w:szCs w:val="16"/>
        </w:rPr>
      </w:pPr>
    </w:p>
    <w:p w14:paraId="10C7D663" w14:textId="6801C3E3" w:rsidR="00C15D29" w:rsidRDefault="00C15D29" w:rsidP="00DE002B">
      <w:pPr>
        <w:tabs>
          <w:tab w:val="left" w:pos="0"/>
        </w:tabs>
        <w:spacing w:after="0" w:line="240" w:lineRule="auto"/>
        <w:ind w:left="360"/>
        <w:contextualSpacing/>
        <w:jc w:val="both"/>
        <w:rPr>
          <w:rFonts w:cstheme="minorHAnsi"/>
          <w:sz w:val="24"/>
          <w:szCs w:val="16"/>
        </w:rPr>
      </w:pPr>
      <w:r>
        <w:rPr>
          <w:rFonts w:cstheme="minorHAnsi"/>
          <w:b/>
          <w:bCs/>
          <w:sz w:val="24"/>
          <w:szCs w:val="16"/>
        </w:rPr>
        <w:t>Curriculum Implementation</w:t>
      </w:r>
    </w:p>
    <w:p w14:paraId="68DB8469" w14:textId="77777777" w:rsidR="00C15D29" w:rsidRDefault="00C15D29" w:rsidP="00DE002B">
      <w:pPr>
        <w:tabs>
          <w:tab w:val="left" w:pos="0"/>
        </w:tabs>
        <w:spacing w:after="0" w:line="240" w:lineRule="auto"/>
        <w:ind w:left="360"/>
        <w:contextualSpacing/>
        <w:jc w:val="both"/>
        <w:rPr>
          <w:rFonts w:cstheme="minorHAnsi"/>
          <w:sz w:val="24"/>
          <w:szCs w:val="16"/>
        </w:rPr>
      </w:pPr>
    </w:p>
    <w:p w14:paraId="6B0F28CD" w14:textId="27D8A3DC" w:rsidR="00DE002B" w:rsidRDefault="00C15D29" w:rsidP="00DE002B">
      <w:pPr>
        <w:tabs>
          <w:tab w:val="left" w:pos="0"/>
        </w:tabs>
        <w:spacing w:after="0" w:line="240" w:lineRule="auto"/>
        <w:ind w:left="360"/>
        <w:contextualSpacing/>
        <w:jc w:val="both"/>
        <w:rPr>
          <w:rFonts w:cstheme="minorHAnsi"/>
          <w:sz w:val="24"/>
          <w:szCs w:val="16"/>
        </w:rPr>
      </w:pPr>
      <w:r>
        <w:rPr>
          <w:rFonts w:cstheme="minorHAnsi"/>
          <w:sz w:val="24"/>
          <w:szCs w:val="16"/>
        </w:rPr>
        <w:t xml:space="preserve">The National Curriculum is the starting point of our curriculum design.  In Early Years, Maths is taught through </w:t>
      </w:r>
      <w:r w:rsidR="00705379">
        <w:rPr>
          <w:rFonts w:cstheme="minorHAnsi"/>
          <w:sz w:val="24"/>
          <w:szCs w:val="16"/>
        </w:rPr>
        <w:t xml:space="preserve">a </w:t>
      </w:r>
      <w:r>
        <w:rPr>
          <w:rFonts w:cstheme="minorHAnsi"/>
          <w:sz w:val="24"/>
          <w:szCs w:val="16"/>
        </w:rPr>
        <w:t>carefully</w:t>
      </w:r>
      <w:r w:rsidR="00705379">
        <w:rPr>
          <w:rFonts w:cstheme="minorHAnsi"/>
          <w:sz w:val="24"/>
          <w:szCs w:val="16"/>
        </w:rPr>
        <w:t xml:space="preserve"> sequenced combination of whole class input and small group adult-led activities alongside</w:t>
      </w:r>
      <w:r>
        <w:rPr>
          <w:rFonts w:cstheme="minorHAnsi"/>
          <w:sz w:val="24"/>
          <w:szCs w:val="16"/>
        </w:rPr>
        <w:t xml:space="preserve"> continuous provision </w:t>
      </w:r>
      <w:r w:rsidR="00705379">
        <w:rPr>
          <w:rFonts w:cstheme="minorHAnsi"/>
          <w:sz w:val="24"/>
          <w:szCs w:val="16"/>
        </w:rPr>
        <w:t>to ensure that our youngest learners are developing a secure sense of number.</w:t>
      </w:r>
      <w:r>
        <w:rPr>
          <w:rFonts w:cstheme="minorHAnsi"/>
          <w:sz w:val="24"/>
          <w:szCs w:val="16"/>
        </w:rPr>
        <w:t xml:space="preserve">  </w:t>
      </w:r>
      <w:r w:rsidR="00705379">
        <w:rPr>
          <w:rFonts w:cstheme="minorHAnsi"/>
          <w:sz w:val="24"/>
          <w:szCs w:val="16"/>
        </w:rPr>
        <w:t xml:space="preserve">The maths area in the classroom provides the children with the chance to explore their own learning with appropriate resources that they will have experienced during the whole class and small group sessions.  </w:t>
      </w:r>
      <w:r>
        <w:rPr>
          <w:rFonts w:cstheme="minorHAnsi"/>
          <w:sz w:val="24"/>
          <w:szCs w:val="16"/>
        </w:rPr>
        <w:t>Both EYFS and Year 1</w:t>
      </w:r>
      <w:r w:rsidR="00DE002B">
        <w:rPr>
          <w:rFonts w:cstheme="minorHAnsi"/>
          <w:sz w:val="24"/>
          <w:szCs w:val="16"/>
        </w:rPr>
        <w:t xml:space="preserve"> &amp; 2</w:t>
      </w:r>
      <w:r>
        <w:rPr>
          <w:rFonts w:cstheme="minorHAnsi"/>
          <w:sz w:val="24"/>
          <w:szCs w:val="16"/>
        </w:rPr>
        <w:t xml:space="preserve"> are </w:t>
      </w:r>
      <w:r w:rsidR="00A1083F">
        <w:rPr>
          <w:rFonts w:cstheme="minorHAnsi"/>
          <w:sz w:val="24"/>
          <w:szCs w:val="16"/>
        </w:rPr>
        <w:t>beginning to implement</w:t>
      </w:r>
      <w:r w:rsidR="00DE002B">
        <w:rPr>
          <w:rFonts w:cstheme="minorHAnsi"/>
          <w:sz w:val="24"/>
          <w:szCs w:val="16"/>
        </w:rPr>
        <w:t xml:space="preserve"> the Mastering Number Programme which will help to secure firm foundations in the development of good number sense for all children.</w:t>
      </w:r>
      <w:r w:rsidR="00A1083F">
        <w:rPr>
          <w:rFonts w:cstheme="minorHAnsi"/>
          <w:sz w:val="24"/>
          <w:szCs w:val="16"/>
        </w:rPr>
        <w:t xml:space="preserve">  </w:t>
      </w:r>
    </w:p>
    <w:p w14:paraId="1A0633BC" w14:textId="77777777" w:rsidR="00DE002B" w:rsidRDefault="00DE002B" w:rsidP="00DE002B">
      <w:pPr>
        <w:tabs>
          <w:tab w:val="left" w:pos="0"/>
        </w:tabs>
        <w:spacing w:after="0" w:line="240" w:lineRule="auto"/>
        <w:ind w:left="360"/>
        <w:contextualSpacing/>
        <w:jc w:val="both"/>
        <w:rPr>
          <w:rFonts w:cstheme="minorHAnsi"/>
          <w:sz w:val="24"/>
          <w:szCs w:val="16"/>
        </w:rPr>
      </w:pPr>
    </w:p>
    <w:p w14:paraId="1B9994F9" w14:textId="69679553" w:rsidR="00DE002B" w:rsidRDefault="00DE002B" w:rsidP="00DE002B">
      <w:pPr>
        <w:tabs>
          <w:tab w:val="left" w:pos="0"/>
        </w:tabs>
        <w:spacing w:after="0" w:line="240" w:lineRule="auto"/>
        <w:ind w:left="360"/>
        <w:contextualSpacing/>
        <w:jc w:val="both"/>
        <w:rPr>
          <w:rFonts w:cstheme="minorHAnsi"/>
          <w:sz w:val="24"/>
          <w:szCs w:val="16"/>
        </w:rPr>
      </w:pPr>
      <w:r>
        <w:rPr>
          <w:rFonts w:cstheme="minorHAnsi"/>
          <w:sz w:val="24"/>
          <w:szCs w:val="16"/>
        </w:rPr>
        <w:t xml:space="preserve">In Years 1 - 6, </w:t>
      </w:r>
      <w:r w:rsidR="00A1083F">
        <w:rPr>
          <w:rFonts w:cstheme="minorHAnsi"/>
          <w:sz w:val="24"/>
          <w:szCs w:val="16"/>
        </w:rPr>
        <w:t>Maths</w:t>
      </w:r>
      <w:r>
        <w:rPr>
          <w:rFonts w:cstheme="minorHAnsi"/>
          <w:sz w:val="24"/>
          <w:szCs w:val="16"/>
        </w:rPr>
        <w:t xml:space="preserve"> learning is planned from the National Curriculum statements, which are grouped into units and divided into manageable steps using the ‘Can </w:t>
      </w:r>
      <w:proofErr w:type="gramStart"/>
      <w:r>
        <w:rPr>
          <w:rFonts w:cstheme="minorHAnsi"/>
          <w:sz w:val="24"/>
          <w:szCs w:val="16"/>
        </w:rPr>
        <w:t>Do Maths’</w:t>
      </w:r>
      <w:r w:rsidR="00A1083F">
        <w:rPr>
          <w:rFonts w:cstheme="minorHAnsi"/>
          <w:sz w:val="24"/>
          <w:szCs w:val="16"/>
        </w:rPr>
        <w:t xml:space="preserve"> </w:t>
      </w:r>
      <w:r>
        <w:rPr>
          <w:rFonts w:cstheme="minorHAnsi"/>
          <w:sz w:val="24"/>
          <w:szCs w:val="16"/>
        </w:rPr>
        <w:t>road</w:t>
      </w:r>
      <w:proofErr w:type="gramEnd"/>
      <w:r>
        <w:rPr>
          <w:rFonts w:cstheme="minorHAnsi"/>
          <w:sz w:val="24"/>
          <w:szCs w:val="16"/>
        </w:rPr>
        <w:t xml:space="preserve"> maps.  These guarantee progression across the school and support long term planning of both the main Maths lesson and the fluency lesson.  They create a coherent mathematical journey through the learning at each stage.  Learning is sequences into small, manageable steps that progressively build on prior learning.</w:t>
      </w:r>
    </w:p>
    <w:p w14:paraId="0855750C" w14:textId="77777777" w:rsidR="00A1083F" w:rsidRDefault="00A1083F" w:rsidP="00DE002B">
      <w:pPr>
        <w:tabs>
          <w:tab w:val="left" w:pos="0"/>
        </w:tabs>
        <w:spacing w:after="0" w:line="240" w:lineRule="auto"/>
        <w:ind w:left="360"/>
        <w:contextualSpacing/>
        <w:jc w:val="both"/>
        <w:rPr>
          <w:rFonts w:cstheme="minorHAnsi"/>
          <w:sz w:val="24"/>
          <w:szCs w:val="16"/>
        </w:rPr>
      </w:pPr>
    </w:p>
    <w:p w14:paraId="0226F60B" w14:textId="77777777" w:rsidR="00A1083F" w:rsidRDefault="00A1083F" w:rsidP="00DE002B">
      <w:pPr>
        <w:tabs>
          <w:tab w:val="left" w:pos="0"/>
        </w:tabs>
        <w:spacing w:after="0" w:line="240" w:lineRule="auto"/>
        <w:ind w:left="360"/>
        <w:contextualSpacing/>
        <w:jc w:val="both"/>
        <w:rPr>
          <w:rFonts w:cstheme="minorHAnsi"/>
          <w:sz w:val="24"/>
          <w:szCs w:val="16"/>
        </w:rPr>
      </w:pPr>
    </w:p>
    <w:p w14:paraId="1ED7728C" w14:textId="77777777" w:rsidR="00A1083F" w:rsidRDefault="00A1083F" w:rsidP="00DE002B">
      <w:pPr>
        <w:tabs>
          <w:tab w:val="left" w:pos="0"/>
        </w:tabs>
        <w:spacing w:after="0" w:line="240" w:lineRule="auto"/>
        <w:ind w:left="360"/>
        <w:contextualSpacing/>
        <w:jc w:val="both"/>
        <w:rPr>
          <w:rFonts w:cstheme="minorHAnsi"/>
          <w:sz w:val="24"/>
          <w:szCs w:val="16"/>
        </w:rPr>
      </w:pPr>
    </w:p>
    <w:tbl>
      <w:tblPr>
        <w:tblStyle w:val="TableGrid"/>
        <w:tblW w:w="0" w:type="auto"/>
        <w:tblInd w:w="360" w:type="dxa"/>
        <w:tblLook w:val="04A0" w:firstRow="1" w:lastRow="0" w:firstColumn="1" w:lastColumn="0" w:noHBand="0" w:noVBand="1"/>
      </w:tblPr>
      <w:tblGrid>
        <w:gridCol w:w="2435"/>
        <w:gridCol w:w="3296"/>
        <w:gridCol w:w="708"/>
        <w:gridCol w:w="3657"/>
      </w:tblGrid>
      <w:tr w:rsidR="00A1083F" w:rsidRPr="00A1083F" w14:paraId="621BA36B" w14:textId="77777777" w:rsidTr="00BC5E3E">
        <w:tc>
          <w:tcPr>
            <w:tcW w:w="5731" w:type="dxa"/>
            <w:gridSpan w:val="2"/>
            <w:shd w:val="clear" w:color="auto" w:fill="B4C6E7" w:themeFill="accent1" w:themeFillTint="66"/>
          </w:tcPr>
          <w:p w14:paraId="2AF03FB1" w14:textId="6A268D4A" w:rsidR="00A1083F" w:rsidRPr="00A1083F" w:rsidRDefault="00A1083F" w:rsidP="00A1083F">
            <w:pPr>
              <w:tabs>
                <w:tab w:val="left" w:pos="0"/>
              </w:tabs>
              <w:contextualSpacing/>
              <w:jc w:val="center"/>
              <w:rPr>
                <w:rFonts w:cstheme="minorHAnsi"/>
                <w:b/>
                <w:bCs/>
                <w:color w:val="000000" w:themeColor="text1"/>
                <w:sz w:val="24"/>
                <w:szCs w:val="24"/>
                <w:shd w:val="clear" w:color="auto" w:fill="FFFFFF"/>
              </w:rPr>
            </w:pPr>
            <w:r w:rsidRPr="00A1083F">
              <w:rPr>
                <w:rFonts w:cstheme="minorHAnsi"/>
                <w:b/>
                <w:bCs/>
                <w:color w:val="000000" w:themeColor="text1"/>
                <w:sz w:val="24"/>
                <w:szCs w:val="24"/>
                <w:shd w:val="clear" w:color="auto" w:fill="FFFFFF"/>
              </w:rPr>
              <w:t>Daily Maths Lessons</w:t>
            </w:r>
          </w:p>
        </w:tc>
        <w:tc>
          <w:tcPr>
            <w:tcW w:w="708" w:type="dxa"/>
            <w:vMerge w:val="restart"/>
            <w:tcBorders>
              <w:top w:val="single" w:sz="4" w:space="0" w:color="FFFFFF" w:themeColor="background1"/>
            </w:tcBorders>
          </w:tcPr>
          <w:p w14:paraId="3403FDC1" w14:textId="77777777" w:rsidR="00A1083F" w:rsidRPr="00A1083F" w:rsidRDefault="00A1083F" w:rsidP="00A1083F">
            <w:pPr>
              <w:tabs>
                <w:tab w:val="left" w:pos="0"/>
              </w:tabs>
              <w:contextualSpacing/>
              <w:jc w:val="center"/>
              <w:rPr>
                <w:rFonts w:cstheme="minorHAnsi"/>
                <w:b/>
                <w:bCs/>
                <w:color w:val="000000" w:themeColor="text1"/>
                <w:sz w:val="24"/>
                <w:szCs w:val="24"/>
                <w:shd w:val="clear" w:color="auto" w:fill="FFFFFF"/>
              </w:rPr>
            </w:pPr>
          </w:p>
        </w:tc>
        <w:tc>
          <w:tcPr>
            <w:tcW w:w="3657" w:type="dxa"/>
            <w:shd w:val="clear" w:color="auto" w:fill="B4C6E7" w:themeFill="accent1" w:themeFillTint="66"/>
          </w:tcPr>
          <w:p w14:paraId="5DC8240B" w14:textId="7680532E" w:rsidR="00A1083F" w:rsidRPr="00A1083F" w:rsidRDefault="00A1083F" w:rsidP="00A1083F">
            <w:pPr>
              <w:tabs>
                <w:tab w:val="left" w:pos="0"/>
              </w:tabs>
              <w:contextualSpacing/>
              <w:jc w:val="center"/>
              <w:rPr>
                <w:rFonts w:cstheme="minorHAnsi"/>
                <w:b/>
                <w:bCs/>
                <w:color w:val="000000" w:themeColor="text1"/>
                <w:sz w:val="24"/>
                <w:szCs w:val="24"/>
                <w:shd w:val="clear" w:color="auto" w:fill="FFFFFF"/>
              </w:rPr>
            </w:pPr>
            <w:r w:rsidRPr="00A1083F">
              <w:rPr>
                <w:rFonts w:cstheme="minorHAnsi"/>
                <w:b/>
                <w:bCs/>
                <w:color w:val="000000" w:themeColor="text1"/>
                <w:sz w:val="24"/>
                <w:szCs w:val="24"/>
                <w:shd w:val="clear" w:color="auto" w:fill="FFFFFF"/>
              </w:rPr>
              <w:t>Maths Meeting (Fluency)</w:t>
            </w:r>
          </w:p>
        </w:tc>
      </w:tr>
      <w:tr w:rsidR="00A1083F" w:rsidRPr="00A1083F" w14:paraId="29C21729" w14:textId="77777777" w:rsidTr="00A1083F">
        <w:tc>
          <w:tcPr>
            <w:tcW w:w="5731" w:type="dxa"/>
            <w:gridSpan w:val="2"/>
          </w:tcPr>
          <w:p w14:paraId="4D80A728" w14:textId="1A03C67B" w:rsidR="00A1083F" w:rsidRPr="00BC5E3E" w:rsidRDefault="00A1083F" w:rsidP="00A1083F">
            <w:pPr>
              <w:tabs>
                <w:tab w:val="left" w:pos="0"/>
              </w:tabs>
              <w:contextualSpacing/>
              <w:jc w:val="center"/>
              <w:rPr>
                <w:rFonts w:cstheme="minorHAnsi"/>
                <w:b/>
                <w:bCs/>
                <w:color w:val="000000" w:themeColor="text1"/>
                <w:sz w:val="24"/>
                <w:szCs w:val="24"/>
                <w:shd w:val="clear" w:color="auto" w:fill="FFFFFF"/>
              </w:rPr>
            </w:pPr>
            <w:r w:rsidRPr="00BC5E3E">
              <w:rPr>
                <w:rFonts w:cstheme="minorHAnsi"/>
                <w:b/>
                <w:bCs/>
                <w:color w:val="000000" w:themeColor="text1"/>
                <w:sz w:val="24"/>
                <w:szCs w:val="24"/>
                <w:shd w:val="clear" w:color="auto" w:fill="FFFFFF"/>
              </w:rPr>
              <w:t>New Learning</w:t>
            </w:r>
          </w:p>
        </w:tc>
        <w:tc>
          <w:tcPr>
            <w:tcW w:w="708" w:type="dxa"/>
            <w:vMerge/>
          </w:tcPr>
          <w:p w14:paraId="356D3C02" w14:textId="77777777" w:rsidR="00A1083F" w:rsidRDefault="00A1083F" w:rsidP="00A1083F">
            <w:pPr>
              <w:tabs>
                <w:tab w:val="left" w:pos="0"/>
              </w:tabs>
              <w:contextualSpacing/>
              <w:jc w:val="center"/>
              <w:rPr>
                <w:rFonts w:cstheme="minorHAnsi"/>
                <w:color w:val="000000" w:themeColor="text1"/>
                <w:sz w:val="24"/>
                <w:szCs w:val="24"/>
                <w:shd w:val="clear" w:color="auto" w:fill="FFFFFF"/>
              </w:rPr>
            </w:pPr>
          </w:p>
        </w:tc>
        <w:tc>
          <w:tcPr>
            <w:tcW w:w="3657" w:type="dxa"/>
          </w:tcPr>
          <w:p w14:paraId="5B9978F4" w14:textId="182A9A46" w:rsidR="00A1083F" w:rsidRPr="00BC5E3E" w:rsidRDefault="00A1083F" w:rsidP="00A1083F">
            <w:pPr>
              <w:tabs>
                <w:tab w:val="left" w:pos="0"/>
              </w:tabs>
              <w:contextualSpacing/>
              <w:jc w:val="center"/>
              <w:rPr>
                <w:rFonts w:cstheme="minorHAnsi"/>
                <w:b/>
                <w:bCs/>
                <w:color w:val="000000" w:themeColor="text1"/>
                <w:sz w:val="24"/>
                <w:szCs w:val="24"/>
                <w:shd w:val="clear" w:color="auto" w:fill="FFFFFF"/>
              </w:rPr>
            </w:pPr>
            <w:r w:rsidRPr="00BC5E3E">
              <w:rPr>
                <w:rFonts w:cstheme="minorHAnsi"/>
                <w:b/>
                <w:bCs/>
                <w:color w:val="000000" w:themeColor="text1"/>
                <w:sz w:val="24"/>
                <w:szCs w:val="24"/>
                <w:shd w:val="clear" w:color="auto" w:fill="FFFFFF"/>
              </w:rPr>
              <w:t>Practise, consolidate, intervene</w:t>
            </w:r>
          </w:p>
        </w:tc>
      </w:tr>
      <w:tr w:rsidR="00A1083F" w:rsidRPr="00A1083F" w14:paraId="010003F6" w14:textId="77777777" w:rsidTr="00A1083F">
        <w:tc>
          <w:tcPr>
            <w:tcW w:w="2435" w:type="dxa"/>
          </w:tcPr>
          <w:p w14:paraId="15FF56AA" w14:textId="1D843EBF"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Teach It</w:t>
            </w:r>
          </w:p>
        </w:tc>
        <w:tc>
          <w:tcPr>
            <w:tcW w:w="3296" w:type="dxa"/>
          </w:tcPr>
          <w:p w14:paraId="7FAC7844" w14:textId="0D86D765"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Practise It</w:t>
            </w:r>
          </w:p>
        </w:tc>
        <w:tc>
          <w:tcPr>
            <w:tcW w:w="708" w:type="dxa"/>
            <w:vMerge/>
          </w:tcPr>
          <w:p w14:paraId="3C86CE67" w14:textId="77777777" w:rsidR="00A1083F" w:rsidRDefault="00A1083F" w:rsidP="00A1083F">
            <w:pPr>
              <w:tabs>
                <w:tab w:val="left" w:pos="0"/>
              </w:tabs>
              <w:contextualSpacing/>
              <w:jc w:val="center"/>
              <w:rPr>
                <w:rFonts w:cstheme="minorHAnsi"/>
                <w:color w:val="000000" w:themeColor="text1"/>
                <w:sz w:val="24"/>
                <w:szCs w:val="24"/>
                <w:shd w:val="clear" w:color="auto" w:fill="FFFFFF"/>
              </w:rPr>
            </w:pPr>
          </w:p>
        </w:tc>
        <w:tc>
          <w:tcPr>
            <w:tcW w:w="3657" w:type="dxa"/>
          </w:tcPr>
          <w:p w14:paraId="168ED7F8" w14:textId="3AA3E4A1"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Skills sessions</w:t>
            </w:r>
          </w:p>
        </w:tc>
      </w:tr>
      <w:tr w:rsidR="00A1083F" w:rsidRPr="00A1083F" w14:paraId="6ACE67EF" w14:textId="77777777" w:rsidTr="00A1083F">
        <w:tc>
          <w:tcPr>
            <w:tcW w:w="5731" w:type="dxa"/>
            <w:gridSpan w:val="2"/>
          </w:tcPr>
          <w:p w14:paraId="620F60E3" w14:textId="086CFC06"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Learning together: support, challenge, practise</w:t>
            </w:r>
          </w:p>
        </w:tc>
        <w:tc>
          <w:tcPr>
            <w:tcW w:w="708" w:type="dxa"/>
            <w:vMerge/>
          </w:tcPr>
          <w:p w14:paraId="64F2FAB7" w14:textId="77777777" w:rsidR="00A1083F" w:rsidRDefault="00A1083F" w:rsidP="00A1083F">
            <w:pPr>
              <w:tabs>
                <w:tab w:val="left" w:pos="0"/>
              </w:tabs>
              <w:contextualSpacing/>
              <w:jc w:val="center"/>
              <w:rPr>
                <w:rFonts w:cstheme="minorHAnsi"/>
                <w:color w:val="000000" w:themeColor="text1"/>
                <w:sz w:val="24"/>
                <w:szCs w:val="24"/>
                <w:shd w:val="clear" w:color="auto" w:fill="FFFFFF"/>
              </w:rPr>
            </w:pPr>
          </w:p>
        </w:tc>
        <w:tc>
          <w:tcPr>
            <w:tcW w:w="3657" w:type="dxa"/>
            <w:vMerge w:val="restart"/>
          </w:tcPr>
          <w:p w14:paraId="0304D0E4" w14:textId="1AA91E10"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Arithmetic / Intervention / Practise to make skilled / Developing fluency</w:t>
            </w:r>
          </w:p>
        </w:tc>
      </w:tr>
      <w:tr w:rsidR="00A1083F" w:rsidRPr="00A1083F" w14:paraId="2D073873" w14:textId="77777777" w:rsidTr="00A1083F">
        <w:tc>
          <w:tcPr>
            <w:tcW w:w="2435" w:type="dxa"/>
          </w:tcPr>
          <w:p w14:paraId="0B762302" w14:textId="473952D7"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Do It</w:t>
            </w:r>
          </w:p>
        </w:tc>
        <w:tc>
          <w:tcPr>
            <w:tcW w:w="3296" w:type="dxa"/>
          </w:tcPr>
          <w:p w14:paraId="4E29AC69" w14:textId="57E30E66"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Secure It</w:t>
            </w:r>
          </w:p>
        </w:tc>
        <w:tc>
          <w:tcPr>
            <w:tcW w:w="708" w:type="dxa"/>
            <w:vMerge/>
          </w:tcPr>
          <w:p w14:paraId="228764A6" w14:textId="77777777"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p>
        </w:tc>
        <w:tc>
          <w:tcPr>
            <w:tcW w:w="3657" w:type="dxa"/>
            <w:vMerge/>
          </w:tcPr>
          <w:p w14:paraId="2FC82A30" w14:textId="58893371"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p>
        </w:tc>
      </w:tr>
      <w:tr w:rsidR="00A1083F" w:rsidRPr="00A1083F" w14:paraId="1AE617C9" w14:textId="77777777" w:rsidTr="00A1083F">
        <w:tc>
          <w:tcPr>
            <w:tcW w:w="5731" w:type="dxa"/>
            <w:gridSpan w:val="2"/>
          </w:tcPr>
          <w:p w14:paraId="558351E9" w14:textId="2AE5F1F0"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Deepen It: deepen your understanding</w:t>
            </w:r>
          </w:p>
        </w:tc>
        <w:tc>
          <w:tcPr>
            <w:tcW w:w="708" w:type="dxa"/>
            <w:vMerge/>
            <w:tcBorders>
              <w:bottom w:val="single" w:sz="4" w:space="0" w:color="FFFFFF"/>
            </w:tcBorders>
          </w:tcPr>
          <w:p w14:paraId="395A2E9B" w14:textId="77777777"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p>
        </w:tc>
        <w:tc>
          <w:tcPr>
            <w:tcW w:w="3657" w:type="dxa"/>
            <w:vMerge/>
          </w:tcPr>
          <w:p w14:paraId="29EA41AB" w14:textId="3F2CEBAD" w:rsidR="00A1083F" w:rsidRPr="00A1083F" w:rsidRDefault="00A1083F" w:rsidP="00A1083F">
            <w:pPr>
              <w:tabs>
                <w:tab w:val="left" w:pos="0"/>
              </w:tabs>
              <w:contextualSpacing/>
              <w:jc w:val="center"/>
              <w:rPr>
                <w:rFonts w:cstheme="minorHAnsi"/>
                <w:color w:val="000000" w:themeColor="text1"/>
                <w:sz w:val="24"/>
                <w:szCs w:val="24"/>
                <w:shd w:val="clear" w:color="auto" w:fill="FFFFFF"/>
              </w:rPr>
            </w:pPr>
          </w:p>
        </w:tc>
      </w:tr>
    </w:tbl>
    <w:p w14:paraId="3D7EE786" w14:textId="02EB501A" w:rsidR="008C570D" w:rsidRPr="008C570D" w:rsidRDefault="008C570D" w:rsidP="008C570D">
      <w:pPr>
        <w:jc w:val="both"/>
        <w:rPr>
          <w:sz w:val="24"/>
          <w:szCs w:val="24"/>
        </w:rPr>
      </w:pPr>
    </w:p>
    <w:tbl>
      <w:tblPr>
        <w:tblStyle w:val="TableGrid"/>
        <w:tblW w:w="0" w:type="auto"/>
        <w:tblLook w:val="04A0" w:firstRow="1" w:lastRow="0" w:firstColumn="1" w:lastColumn="0" w:noHBand="0" w:noVBand="1"/>
      </w:tblPr>
      <w:tblGrid>
        <w:gridCol w:w="6232"/>
        <w:gridCol w:w="567"/>
        <w:gridCol w:w="3657"/>
      </w:tblGrid>
      <w:tr w:rsidR="008C570D" w14:paraId="1AE8E85F" w14:textId="77777777" w:rsidTr="008C570D">
        <w:tc>
          <w:tcPr>
            <w:tcW w:w="6232" w:type="dxa"/>
            <w:tcBorders>
              <w:top w:val="nil"/>
              <w:left w:val="nil"/>
              <w:bottom w:val="nil"/>
              <w:right w:val="nil"/>
            </w:tcBorders>
          </w:tcPr>
          <w:p w14:paraId="186C9B5D" w14:textId="77777777" w:rsidR="008C570D" w:rsidRDefault="008C570D" w:rsidP="008C570D">
            <w:pPr>
              <w:jc w:val="both"/>
              <w:rPr>
                <w:b/>
                <w:bCs/>
                <w:sz w:val="24"/>
                <w:szCs w:val="24"/>
              </w:rPr>
            </w:pPr>
            <w:r>
              <w:rPr>
                <w:b/>
                <w:bCs/>
                <w:sz w:val="24"/>
                <w:szCs w:val="24"/>
              </w:rPr>
              <w:t>Lesson Design</w:t>
            </w:r>
          </w:p>
          <w:p w14:paraId="0A2E0552" w14:textId="77777777" w:rsidR="008C570D" w:rsidRDefault="008C570D" w:rsidP="008C570D">
            <w:pPr>
              <w:jc w:val="both"/>
              <w:rPr>
                <w:b/>
                <w:bCs/>
                <w:sz w:val="24"/>
                <w:szCs w:val="24"/>
              </w:rPr>
            </w:pPr>
          </w:p>
          <w:p w14:paraId="1990EED2" w14:textId="77777777" w:rsidR="008C570D" w:rsidRDefault="008C570D" w:rsidP="008C570D">
            <w:pPr>
              <w:pStyle w:val="ListParagraph"/>
              <w:numPr>
                <w:ilvl w:val="0"/>
                <w:numId w:val="3"/>
              </w:numPr>
              <w:jc w:val="both"/>
              <w:rPr>
                <w:sz w:val="24"/>
                <w:szCs w:val="24"/>
              </w:rPr>
            </w:pPr>
            <w:r w:rsidRPr="00BC5E3E">
              <w:rPr>
                <w:b/>
                <w:bCs/>
                <w:sz w:val="24"/>
                <w:szCs w:val="24"/>
              </w:rPr>
              <w:t>Hook It</w:t>
            </w:r>
            <w:r>
              <w:rPr>
                <w:sz w:val="24"/>
                <w:szCs w:val="24"/>
              </w:rPr>
              <w:t>: Introduction / real-life context</w:t>
            </w:r>
          </w:p>
          <w:p w14:paraId="6826A2F6" w14:textId="77777777" w:rsidR="008C570D" w:rsidRDefault="008C570D" w:rsidP="008C570D">
            <w:pPr>
              <w:pStyle w:val="ListParagraph"/>
              <w:numPr>
                <w:ilvl w:val="0"/>
                <w:numId w:val="3"/>
              </w:numPr>
              <w:jc w:val="both"/>
              <w:rPr>
                <w:sz w:val="24"/>
                <w:szCs w:val="24"/>
              </w:rPr>
            </w:pPr>
            <w:r>
              <w:rPr>
                <w:sz w:val="24"/>
                <w:szCs w:val="24"/>
              </w:rPr>
              <w:t>Key Learning Point</w:t>
            </w:r>
          </w:p>
          <w:p w14:paraId="2D46ABCF" w14:textId="4583E200" w:rsidR="008C570D" w:rsidRDefault="008C570D" w:rsidP="008C570D">
            <w:pPr>
              <w:pStyle w:val="ListParagraph"/>
              <w:numPr>
                <w:ilvl w:val="0"/>
                <w:numId w:val="3"/>
              </w:numPr>
              <w:jc w:val="both"/>
              <w:rPr>
                <w:sz w:val="24"/>
                <w:szCs w:val="24"/>
              </w:rPr>
            </w:pPr>
            <w:r w:rsidRPr="00BC5E3E">
              <w:rPr>
                <w:b/>
                <w:bCs/>
                <w:sz w:val="24"/>
                <w:szCs w:val="24"/>
              </w:rPr>
              <w:t>Teach It</w:t>
            </w:r>
            <w:r>
              <w:rPr>
                <w:sz w:val="24"/>
                <w:szCs w:val="24"/>
              </w:rPr>
              <w:t>: Modelling new learning</w:t>
            </w:r>
            <w:r>
              <w:rPr>
                <w:sz w:val="24"/>
                <w:szCs w:val="24"/>
              </w:rPr>
              <w:t>.</w:t>
            </w:r>
          </w:p>
          <w:p w14:paraId="0B39E205" w14:textId="77777777" w:rsidR="008C570D" w:rsidRDefault="008C570D" w:rsidP="008C570D">
            <w:pPr>
              <w:pStyle w:val="ListParagraph"/>
              <w:numPr>
                <w:ilvl w:val="0"/>
                <w:numId w:val="3"/>
              </w:numPr>
              <w:jc w:val="both"/>
              <w:rPr>
                <w:sz w:val="24"/>
                <w:szCs w:val="24"/>
              </w:rPr>
            </w:pPr>
            <w:r w:rsidRPr="00BC5E3E">
              <w:rPr>
                <w:b/>
                <w:bCs/>
                <w:sz w:val="24"/>
                <w:szCs w:val="24"/>
              </w:rPr>
              <w:t>Practise It</w:t>
            </w:r>
            <w:r>
              <w:rPr>
                <w:sz w:val="24"/>
                <w:szCs w:val="24"/>
              </w:rPr>
              <w:t>: All practise together – support &amp; challenge.</w:t>
            </w:r>
          </w:p>
          <w:p w14:paraId="46A087AC" w14:textId="77777777" w:rsidR="008C570D" w:rsidRDefault="008C570D" w:rsidP="008C570D">
            <w:pPr>
              <w:pStyle w:val="ListParagraph"/>
              <w:numPr>
                <w:ilvl w:val="0"/>
                <w:numId w:val="3"/>
              </w:numPr>
              <w:jc w:val="both"/>
              <w:rPr>
                <w:sz w:val="24"/>
                <w:szCs w:val="24"/>
              </w:rPr>
            </w:pPr>
            <w:r w:rsidRPr="00BC5E3E">
              <w:rPr>
                <w:b/>
                <w:bCs/>
                <w:sz w:val="24"/>
                <w:szCs w:val="24"/>
              </w:rPr>
              <w:t>Do It</w:t>
            </w:r>
            <w:r>
              <w:rPr>
                <w:sz w:val="24"/>
                <w:szCs w:val="24"/>
              </w:rPr>
              <w:t>: 6 – 10 intelligently designed questions aimed to provide pupils the opportunity to practise the key learning point from the lesson.  An opportunity for teachers to also ensure the new learning has been understood.</w:t>
            </w:r>
          </w:p>
          <w:p w14:paraId="7FCE7C3A" w14:textId="77777777" w:rsidR="008C570D" w:rsidRDefault="008C570D" w:rsidP="008C570D">
            <w:pPr>
              <w:pStyle w:val="ListParagraph"/>
              <w:numPr>
                <w:ilvl w:val="0"/>
                <w:numId w:val="3"/>
              </w:numPr>
              <w:jc w:val="both"/>
              <w:rPr>
                <w:sz w:val="24"/>
                <w:szCs w:val="24"/>
              </w:rPr>
            </w:pPr>
            <w:r w:rsidRPr="00BC5E3E">
              <w:rPr>
                <w:b/>
                <w:bCs/>
                <w:sz w:val="24"/>
                <w:szCs w:val="24"/>
              </w:rPr>
              <w:t>Secure It</w:t>
            </w:r>
            <w:r>
              <w:rPr>
                <w:sz w:val="24"/>
                <w:szCs w:val="24"/>
              </w:rPr>
              <w:t>: opportunity to apply understanding in a range of different contexts including identifying common mistakes or misunderstandings (true or false, spot the mistake, reason and explain).</w:t>
            </w:r>
          </w:p>
          <w:p w14:paraId="5768389E" w14:textId="1AAD276F" w:rsidR="008C570D" w:rsidRPr="008C570D" w:rsidRDefault="008C570D" w:rsidP="008C570D">
            <w:pPr>
              <w:pStyle w:val="ListParagraph"/>
              <w:numPr>
                <w:ilvl w:val="0"/>
                <w:numId w:val="3"/>
              </w:numPr>
              <w:jc w:val="both"/>
              <w:rPr>
                <w:sz w:val="24"/>
                <w:szCs w:val="24"/>
              </w:rPr>
            </w:pPr>
            <w:r w:rsidRPr="008C570D">
              <w:rPr>
                <w:b/>
                <w:bCs/>
                <w:sz w:val="24"/>
                <w:szCs w:val="24"/>
              </w:rPr>
              <w:t>Deepen It</w:t>
            </w:r>
            <w:r w:rsidRPr="008C570D">
              <w:rPr>
                <w:sz w:val="24"/>
                <w:szCs w:val="24"/>
              </w:rPr>
              <w:t>: learners challenge themselves and deepen their understanding of the key learning point.  Teachers plan open-ended problems that encourage children to think deeper and solve problems, including multiple solution problems.</w:t>
            </w:r>
          </w:p>
        </w:tc>
        <w:tc>
          <w:tcPr>
            <w:tcW w:w="567" w:type="dxa"/>
            <w:tcBorders>
              <w:top w:val="nil"/>
              <w:left w:val="nil"/>
              <w:bottom w:val="nil"/>
              <w:right w:val="nil"/>
            </w:tcBorders>
          </w:tcPr>
          <w:p w14:paraId="5450EA7A" w14:textId="77777777" w:rsidR="008C570D" w:rsidRDefault="008C570D" w:rsidP="008C570D">
            <w:pPr>
              <w:jc w:val="both"/>
              <w:rPr>
                <w:sz w:val="24"/>
                <w:szCs w:val="24"/>
              </w:rPr>
            </w:pPr>
          </w:p>
        </w:tc>
        <w:tc>
          <w:tcPr>
            <w:tcW w:w="3657" w:type="dxa"/>
            <w:tcBorders>
              <w:top w:val="nil"/>
              <w:left w:val="nil"/>
              <w:bottom w:val="nil"/>
              <w:right w:val="nil"/>
            </w:tcBorders>
          </w:tcPr>
          <w:p w14:paraId="1ADB8AB6" w14:textId="77777777" w:rsidR="008C570D" w:rsidRDefault="008C570D" w:rsidP="008C570D">
            <w:pPr>
              <w:jc w:val="both"/>
              <w:rPr>
                <w:b/>
                <w:bCs/>
                <w:sz w:val="24"/>
                <w:szCs w:val="24"/>
              </w:rPr>
            </w:pPr>
            <w:r>
              <w:rPr>
                <w:b/>
                <w:bCs/>
                <w:sz w:val="24"/>
                <w:szCs w:val="24"/>
              </w:rPr>
              <w:t>Maths Meeting</w:t>
            </w:r>
          </w:p>
          <w:p w14:paraId="0B056F31" w14:textId="77777777" w:rsidR="008C570D" w:rsidRDefault="008C570D" w:rsidP="008C570D">
            <w:pPr>
              <w:jc w:val="both"/>
              <w:rPr>
                <w:b/>
                <w:bCs/>
                <w:sz w:val="24"/>
                <w:szCs w:val="24"/>
              </w:rPr>
            </w:pPr>
          </w:p>
          <w:p w14:paraId="5795C6D4" w14:textId="2F7818FA" w:rsidR="008C570D" w:rsidRDefault="008C570D" w:rsidP="008C570D">
            <w:pPr>
              <w:jc w:val="both"/>
              <w:rPr>
                <w:sz w:val="24"/>
                <w:szCs w:val="24"/>
              </w:rPr>
            </w:pPr>
            <w:r w:rsidRPr="008C570D">
              <w:rPr>
                <w:sz w:val="24"/>
                <w:szCs w:val="24"/>
              </w:rPr>
              <w:t>Develop</w:t>
            </w:r>
            <w:r>
              <w:rPr>
                <w:sz w:val="24"/>
                <w:szCs w:val="24"/>
              </w:rPr>
              <w:t>ing</w:t>
            </w:r>
            <w:r w:rsidRPr="008C570D">
              <w:rPr>
                <w:sz w:val="24"/>
                <w:szCs w:val="24"/>
              </w:rPr>
              <w:t xml:space="preserve"> mathematical fluency </w:t>
            </w:r>
            <w:r>
              <w:rPr>
                <w:sz w:val="24"/>
                <w:szCs w:val="24"/>
              </w:rPr>
              <w:t>through:</w:t>
            </w:r>
          </w:p>
          <w:p w14:paraId="4A7E3682" w14:textId="6DC9478F" w:rsidR="008C570D" w:rsidRDefault="008C570D" w:rsidP="008C570D">
            <w:pPr>
              <w:pStyle w:val="ListParagraph"/>
              <w:numPr>
                <w:ilvl w:val="0"/>
                <w:numId w:val="5"/>
              </w:numPr>
              <w:jc w:val="both"/>
              <w:rPr>
                <w:sz w:val="24"/>
                <w:szCs w:val="24"/>
              </w:rPr>
            </w:pPr>
            <w:r w:rsidRPr="008C570D">
              <w:rPr>
                <w:b/>
                <w:bCs/>
                <w:sz w:val="24"/>
                <w:szCs w:val="24"/>
              </w:rPr>
              <w:t>Deliberate practice</w:t>
            </w:r>
            <w:r>
              <w:rPr>
                <w:sz w:val="24"/>
                <w:szCs w:val="24"/>
              </w:rPr>
              <w:t xml:space="preserve"> - revisit previously taught objectives</w:t>
            </w:r>
          </w:p>
          <w:p w14:paraId="3952377F" w14:textId="29D50CD6" w:rsidR="008C570D" w:rsidRDefault="008C570D" w:rsidP="008C570D">
            <w:pPr>
              <w:pStyle w:val="ListParagraph"/>
              <w:numPr>
                <w:ilvl w:val="0"/>
                <w:numId w:val="5"/>
              </w:numPr>
              <w:jc w:val="both"/>
              <w:rPr>
                <w:sz w:val="24"/>
                <w:szCs w:val="24"/>
              </w:rPr>
            </w:pPr>
            <w:r w:rsidRPr="008C570D">
              <w:rPr>
                <w:b/>
                <w:bCs/>
                <w:sz w:val="24"/>
                <w:szCs w:val="24"/>
              </w:rPr>
              <w:t>Fact fluency</w:t>
            </w:r>
            <w:r>
              <w:rPr>
                <w:sz w:val="24"/>
                <w:szCs w:val="24"/>
              </w:rPr>
              <w:t xml:space="preserve"> (number bonds, multiplication and division facts)</w:t>
            </w:r>
          </w:p>
          <w:p w14:paraId="3B3F7363" w14:textId="77777777" w:rsidR="008C570D" w:rsidRPr="008C570D" w:rsidRDefault="008C570D" w:rsidP="008C570D">
            <w:pPr>
              <w:jc w:val="both"/>
              <w:rPr>
                <w:sz w:val="24"/>
                <w:szCs w:val="24"/>
              </w:rPr>
            </w:pPr>
          </w:p>
          <w:p w14:paraId="3F40256F" w14:textId="27F93783" w:rsidR="008C570D" w:rsidRPr="008C570D" w:rsidRDefault="008C570D" w:rsidP="008C570D">
            <w:pPr>
              <w:jc w:val="both"/>
              <w:rPr>
                <w:sz w:val="24"/>
                <w:szCs w:val="24"/>
              </w:rPr>
            </w:pPr>
            <w:r>
              <w:rPr>
                <w:sz w:val="24"/>
                <w:szCs w:val="24"/>
              </w:rPr>
              <w:t>No new learning takes place, this is an opportunity to rehearse previous learning.  Children develop their fluency to ensure speed and accuracy.  Sessions are planned following the Can Do sequence or addressing misunderstandings or gaps without impacting on the progress and coverage in the Maths Lesson.</w:t>
            </w:r>
          </w:p>
        </w:tc>
      </w:tr>
    </w:tbl>
    <w:p w14:paraId="68C14049" w14:textId="77777777" w:rsidR="008C570D" w:rsidRPr="008C570D" w:rsidRDefault="008C570D" w:rsidP="008C570D">
      <w:pPr>
        <w:jc w:val="both"/>
        <w:rPr>
          <w:sz w:val="24"/>
          <w:szCs w:val="24"/>
        </w:rPr>
      </w:pPr>
    </w:p>
    <w:p w14:paraId="6A5AC2BD" w14:textId="59750791" w:rsidR="00BC5E3E" w:rsidRPr="00BC5E3E" w:rsidRDefault="00BC5E3E" w:rsidP="00C15D29">
      <w:pPr>
        <w:jc w:val="both"/>
        <w:rPr>
          <w:b/>
          <w:bCs/>
          <w:sz w:val="24"/>
          <w:szCs w:val="24"/>
        </w:rPr>
      </w:pPr>
      <w:r>
        <w:rPr>
          <w:b/>
          <w:bCs/>
          <w:sz w:val="24"/>
          <w:szCs w:val="24"/>
        </w:rPr>
        <w:t>Can Do Maths</w:t>
      </w:r>
    </w:p>
    <w:p w14:paraId="50575E7F" w14:textId="78AA4BED" w:rsidR="00BC5E3E" w:rsidRDefault="00BC5E3E" w:rsidP="00C15D29">
      <w:pPr>
        <w:jc w:val="both"/>
        <w:rPr>
          <w:sz w:val="24"/>
          <w:szCs w:val="24"/>
        </w:rPr>
      </w:pPr>
      <w:r>
        <w:rPr>
          <w:sz w:val="24"/>
          <w:szCs w:val="24"/>
        </w:rPr>
        <w:t xml:space="preserve">‘Can Do Maths’ </w:t>
      </w:r>
      <w:proofErr w:type="gramStart"/>
      <w:r>
        <w:rPr>
          <w:sz w:val="24"/>
          <w:szCs w:val="24"/>
        </w:rPr>
        <w:t>is</w:t>
      </w:r>
      <w:proofErr w:type="gramEnd"/>
      <w:r>
        <w:rPr>
          <w:sz w:val="24"/>
          <w:szCs w:val="24"/>
        </w:rPr>
        <w:t xml:space="preserve"> followed as a coverage overview</w:t>
      </w:r>
      <w:r w:rsidR="008C570D">
        <w:rPr>
          <w:sz w:val="24"/>
          <w:szCs w:val="24"/>
        </w:rPr>
        <w:t xml:space="preserve"> and Key Learning Points for individual lessons to ensure whole school progression.  From these objectives taken form the </w:t>
      </w:r>
      <w:proofErr w:type="gramStart"/>
      <w:r w:rsidR="008C570D">
        <w:rPr>
          <w:sz w:val="24"/>
          <w:szCs w:val="24"/>
        </w:rPr>
        <w:t>Can Do</w:t>
      </w:r>
      <w:proofErr w:type="gramEnd"/>
      <w:r w:rsidR="008C570D">
        <w:rPr>
          <w:sz w:val="24"/>
          <w:szCs w:val="24"/>
        </w:rPr>
        <w:t xml:space="preserve"> overview, teachers plan a lesson to ensure that children have the opportunity for rehearsal of the new learning as well as the opportunity to reason mathematically and solve problems in a range of difference contexts.  School has a White Rose subscription </w:t>
      </w:r>
      <w:r w:rsidR="00705379">
        <w:rPr>
          <w:sz w:val="24"/>
          <w:szCs w:val="24"/>
        </w:rPr>
        <w:t xml:space="preserve">and </w:t>
      </w:r>
      <w:r w:rsidR="00705379">
        <w:rPr>
          <w:sz w:val="24"/>
          <w:szCs w:val="24"/>
        </w:rPr>
        <w:t>are also supported to use the NCTEM RTP exemplifications resources</w:t>
      </w:r>
      <w:r w:rsidR="00705379">
        <w:rPr>
          <w:sz w:val="24"/>
          <w:szCs w:val="24"/>
        </w:rPr>
        <w:t xml:space="preserve"> </w:t>
      </w:r>
      <w:r w:rsidR="008C570D">
        <w:rPr>
          <w:sz w:val="24"/>
          <w:szCs w:val="24"/>
        </w:rPr>
        <w:t>to ensure planning is varied and meets the needs of all pupils</w:t>
      </w:r>
      <w:r w:rsidR="00705379">
        <w:rPr>
          <w:sz w:val="24"/>
          <w:szCs w:val="24"/>
        </w:rPr>
        <w:t>.</w:t>
      </w:r>
    </w:p>
    <w:p w14:paraId="1C21EA30" w14:textId="77777777" w:rsidR="00705379" w:rsidRDefault="00705379" w:rsidP="00C15D29">
      <w:pPr>
        <w:jc w:val="both"/>
        <w:rPr>
          <w:sz w:val="24"/>
          <w:szCs w:val="24"/>
        </w:rPr>
      </w:pPr>
    </w:p>
    <w:p w14:paraId="1C1A4B61" w14:textId="570B2667" w:rsidR="00705379" w:rsidRDefault="00705379" w:rsidP="00C15D29">
      <w:pPr>
        <w:jc w:val="both"/>
        <w:rPr>
          <w:b/>
          <w:bCs/>
          <w:sz w:val="24"/>
          <w:szCs w:val="24"/>
        </w:rPr>
      </w:pPr>
      <w:r>
        <w:rPr>
          <w:b/>
          <w:bCs/>
          <w:sz w:val="24"/>
          <w:szCs w:val="24"/>
        </w:rPr>
        <w:t>Scaffolding/supporting SEND/lowest 20%</w:t>
      </w:r>
    </w:p>
    <w:p w14:paraId="165AD59F" w14:textId="57F5550F" w:rsidR="00705379" w:rsidRDefault="00705379" w:rsidP="00C15D29">
      <w:pPr>
        <w:jc w:val="both"/>
        <w:rPr>
          <w:b/>
          <w:bCs/>
          <w:sz w:val="24"/>
          <w:szCs w:val="24"/>
        </w:rPr>
      </w:pPr>
      <w:r>
        <w:rPr>
          <w:b/>
          <w:bCs/>
          <w:sz w:val="24"/>
          <w:szCs w:val="24"/>
        </w:rPr>
        <w:t>What do we do and how does this look?</w:t>
      </w:r>
    </w:p>
    <w:p w14:paraId="47A22668" w14:textId="125E609B" w:rsidR="00705379" w:rsidRDefault="00705379" w:rsidP="00C15D29">
      <w:pPr>
        <w:jc w:val="both"/>
        <w:rPr>
          <w:sz w:val="24"/>
          <w:szCs w:val="24"/>
        </w:rPr>
      </w:pPr>
      <w:r>
        <w:rPr>
          <w:sz w:val="24"/>
          <w:szCs w:val="24"/>
        </w:rPr>
        <w:t>To ensure we provide the right opportunities for our children that are within the lowest 20% and not on track to apply the taught objectives, we provide additional scaffolding and, in some cases, differentiate the learning objective.</w:t>
      </w:r>
    </w:p>
    <w:p w14:paraId="65BC3EF1" w14:textId="0DCF6ECF" w:rsidR="00705379" w:rsidRDefault="00705379" w:rsidP="00C15D29">
      <w:pPr>
        <w:jc w:val="both"/>
        <w:rPr>
          <w:b/>
          <w:bCs/>
          <w:sz w:val="24"/>
          <w:szCs w:val="24"/>
        </w:rPr>
      </w:pPr>
      <w:r>
        <w:rPr>
          <w:b/>
          <w:bCs/>
          <w:sz w:val="24"/>
          <w:szCs w:val="24"/>
        </w:rPr>
        <w:t>Additional Scaffolding Strategies</w:t>
      </w:r>
    </w:p>
    <w:p w14:paraId="0432A29F" w14:textId="789E4484" w:rsidR="00705379" w:rsidRDefault="00705379" w:rsidP="00C15D29">
      <w:pPr>
        <w:jc w:val="both"/>
        <w:rPr>
          <w:sz w:val="24"/>
          <w:szCs w:val="24"/>
        </w:rPr>
      </w:pPr>
      <w:proofErr w:type="gramStart"/>
      <w:r>
        <w:rPr>
          <w:sz w:val="24"/>
          <w:szCs w:val="24"/>
        </w:rPr>
        <w:t>In order to</w:t>
      </w:r>
      <w:proofErr w:type="gramEnd"/>
      <w:r>
        <w:rPr>
          <w:sz w:val="24"/>
          <w:szCs w:val="24"/>
        </w:rPr>
        <w:t xml:space="preserve"> ensure that all children are keeping up, children’s learning is sometimes scaffolded using additional resources (sentence stems, 5 and 10 frames, number lines, hundred squares etc).</w:t>
      </w:r>
    </w:p>
    <w:p w14:paraId="07C68E05" w14:textId="2BC9C2A9" w:rsidR="00705379" w:rsidRDefault="00705379" w:rsidP="00C15D29">
      <w:pPr>
        <w:jc w:val="both"/>
        <w:rPr>
          <w:b/>
          <w:bCs/>
          <w:sz w:val="24"/>
          <w:szCs w:val="24"/>
        </w:rPr>
      </w:pPr>
      <w:r>
        <w:rPr>
          <w:b/>
          <w:bCs/>
          <w:sz w:val="24"/>
          <w:szCs w:val="24"/>
        </w:rPr>
        <w:lastRenderedPageBreak/>
        <w:t>Differentiating the Learning Objective</w:t>
      </w:r>
    </w:p>
    <w:p w14:paraId="34822EC6" w14:textId="4A10949F" w:rsidR="00705379" w:rsidRDefault="00705379" w:rsidP="00C15D29">
      <w:pPr>
        <w:jc w:val="both"/>
        <w:rPr>
          <w:sz w:val="24"/>
          <w:szCs w:val="24"/>
        </w:rPr>
      </w:pPr>
      <w:r>
        <w:rPr>
          <w:sz w:val="24"/>
          <w:szCs w:val="24"/>
        </w:rPr>
        <w:t>Using teacher judgement, where appropriate, teachers may differentiate the learning objective so that some of our lowest 20% and those children with SEND</w:t>
      </w:r>
      <w:r w:rsidR="00B60807">
        <w:rPr>
          <w:sz w:val="24"/>
          <w:szCs w:val="24"/>
        </w:rPr>
        <w:t xml:space="preserve"> can achieve.  Teachers will follow the same unit of Maths (following the road map) but will take appropriate learning objectives from previous year groups. </w:t>
      </w:r>
    </w:p>
    <w:p w14:paraId="3BA33924" w14:textId="77777777" w:rsidR="00B60807" w:rsidRDefault="00B60807" w:rsidP="00C15D29">
      <w:pPr>
        <w:jc w:val="both"/>
        <w:rPr>
          <w:sz w:val="24"/>
          <w:szCs w:val="24"/>
        </w:rPr>
      </w:pPr>
    </w:p>
    <w:p w14:paraId="00445B6E" w14:textId="12BBF581" w:rsidR="00B60807" w:rsidRDefault="00B60807" w:rsidP="00C15D29">
      <w:pPr>
        <w:jc w:val="both"/>
        <w:rPr>
          <w:b/>
          <w:bCs/>
          <w:sz w:val="24"/>
          <w:szCs w:val="24"/>
        </w:rPr>
      </w:pPr>
      <w:r>
        <w:rPr>
          <w:b/>
          <w:bCs/>
          <w:sz w:val="24"/>
          <w:szCs w:val="24"/>
        </w:rPr>
        <w:t>Challenging Learners</w:t>
      </w:r>
    </w:p>
    <w:p w14:paraId="7A6FAB23" w14:textId="6DB69B3B" w:rsidR="00B60807" w:rsidRDefault="00B60807" w:rsidP="00C15D29">
      <w:pPr>
        <w:jc w:val="both"/>
        <w:rPr>
          <w:b/>
          <w:bCs/>
          <w:sz w:val="24"/>
          <w:szCs w:val="24"/>
        </w:rPr>
      </w:pPr>
      <w:r>
        <w:rPr>
          <w:b/>
          <w:bCs/>
          <w:sz w:val="24"/>
          <w:szCs w:val="24"/>
        </w:rPr>
        <w:t>How do we ensure all children make progress?</w:t>
      </w:r>
    </w:p>
    <w:p w14:paraId="4820C04E" w14:textId="4EE33ABD" w:rsidR="00B60807" w:rsidRDefault="00B60807" w:rsidP="00C15D29">
      <w:pPr>
        <w:jc w:val="both"/>
        <w:rPr>
          <w:sz w:val="24"/>
          <w:szCs w:val="24"/>
        </w:rPr>
      </w:pPr>
      <w:r>
        <w:rPr>
          <w:sz w:val="24"/>
          <w:szCs w:val="24"/>
        </w:rPr>
        <w:t xml:space="preserve">To guarantee all children are challenged appropriately in Maths, teachers ensure that challenge is provided through the 3 steps of the lesson.  QLA from previous assessments and </w:t>
      </w:r>
      <w:proofErr w:type="spellStart"/>
      <w:r>
        <w:rPr>
          <w:sz w:val="24"/>
          <w:szCs w:val="24"/>
        </w:rPr>
        <w:t>AfL</w:t>
      </w:r>
      <w:proofErr w:type="spellEnd"/>
      <w:r>
        <w:rPr>
          <w:sz w:val="24"/>
          <w:szCs w:val="24"/>
        </w:rPr>
        <w:t xml:space="preserve"> during the lesson should inform future planning to ensure that Secure It and Deepen It parts of the lessons are correctly pitched to enable all learners to make progress and reach their full potential.</w:t>
      </w:r>
    </w:p>
    <w:p w14:paraId="0FCBAFAC" w14:textId="6B6D6506" w:rsidR="00B60807" w:rsidRDefault="00B60807" w:rsidP="00C15D29">
      <w:pPr>
        <w:jc w:val="both"/>
        <w:rPr>
          <w:sz w:val="24"/>
          <w:szCs w:val="24"/>
        </w:rPr>
      </w:pPr>
      <w:r>
        <w:rPr>
          <w:sz w:val="24"/>
          <w:szCs w:val="24"/>
        </w:rPr>
        <w:t>Our lesson design ensures that our rapid graspers and previously high attainers are challenged through depth of understanding rather than breadth; learners are not ‘accelerated’ to experience learning objectives from older year groups.</w:t>
      </w:r>
    </w:p>
    <w:p w14:paraId="728E4CB7" w14:textId="77777777" w:rsidR="00B60807" w:rsidRDefault="00B60807" w:rsidP="00C15D29">
      <w:pPr>
        <w:jc w:val="both"/>
        <w:rPr>
          <w:sz w:val="24"/>
          <w:szCs w:val="24"/>
        </w:rPr>
      </w:pPr>
    </w:p>
    <w:p w14:paraId="28F0FE92" w14:textId="6E7FC51F" w:rsidR="00B60807" w:rsidRDefault="00B60807" w:rsidP="00C15D29">
      <w:pPr>
        <w:jc w:val="both"/>
        <w:rPr>
          <w:b/>
          <w:bCs/>
          <w:sz w:val="24"/>
          <w:szCs w:val="24"/>
        </w:rPr>
      </w:pPr>
      <w:r>
        <w:rPr>
          <w:b/>
          <w:bCs/>
          <w:sz w:val="24"/>
          <w:szCs w:val="24"/>
        </w:rPr>
        <w:t>Impact</w:t>
      </w:r>
    </w:p>
    <w:p w14:paraId="1D80EABE" w14:textId="4142CB0D" w:rsidR="00B60807" w:rsidRDefault="00B60807" w:rsidP="00C15D29">
      <w:pPr>
        <w:jc w:val="both"/>
        <w:rPr>
          <w:sz w:val="24"/>
          <w:szCs w:val="24"/>
        </w:rPr>
      </w:pPr>
      <w:r>
        <w:rPr>
          <w:sz w:val="24"/>
          <w:szCs w:val="24"/>
        </w:rPr>
        <w:t>Our intended impact is that by the time our pupils leave West Kidlington Primary School, they will have developed:</w:t>
      </w:r>
    </w:p>
    <w:p w14:paraId="22FE51CA" w14:textId="4AB506C5" w:rsidR="00B60807" w:rsidRDefault="00B60807" w:rsidP="00B60807">
      <w:pPr>
        <w:pStyle w:val="ListParagraph"/>
        <w:numPr>
          <w:ilvl w:val="0"/>
          <w:numId w:val="6"/>
        </w:numPr>
        <w:jc w:val="both"/>
        <w:rPr>
          <w:sz w:val="24"/>
          <w:szCs w:val="24"/>
        </w:rPr>
      </w:pPr>
      <w:r>
        <w:rPr>
          <w:sz w:val="24"/>
          <w:szCs w:val="24"/>
        </w:rPr>
        <w:t>Mathematical fluency based on rapid and accurate recall and conceptual understanding.</w:t>
      </w:r>
    </w:p>
    <w:p w14:paraId="418E1355" w14:textId="0B6CBD7B" w:rsidR="00B60807" w:rsidRDefault="00B60807" w:rsidP="00B60807">
      <w:pPr>
        <w:pStyle w:val="ListParagraph"/>
        <w:numPr>
          <w:ilvl w:val="0"/>
          <w:numId w:val="6"/>
        </w:numPr>
        <w:jc w:val="both"/>
        <w:rPr>
          <w:sz w:val="24"/>
          <w:szCs w:val="24"/>
        </w:rPr>
      </w:pPr>
      <w:r>
        <w:rPr>
          <w:sz w:val="24"/>
          <w:szCs w:val="24"/>
        </w:rPr>
        <w:t>A love of Maths, including number, geometry and reasoning and a desire to develop their mathematical knowledge and skills further in their next phase of education.</w:t>
      </w:r>
    </w:p>
    <w:p w14:paraId="751733AF" w14:textId="07F31574" w:rsidR="00B60807" w:rsidRPr="00B60807" w:rsidRDefault="00B60807" w:rsidP="00B60807">
      <w:pPr>
        <w:pStyle w:val="ListParagraph"/>
        <w:numPr>
          <w:ilvl w:val="0"/>
          <w:numId w:val="6"/>
        </w:numPr>
        <w:jc w:val="both"/>
        <w:rPr>
          <w:sz w:val="24"/>
          <w:szCs w:val="24"/>
        </w:rPr>
      </w:pPr>
      <w:r>
        <w:rPr>
          <w:sz w:val="24"/>
          <w:szCs w:val="24"/>
        </w:rPr>
        <w:t xml:space="preserve">A confidence in their ability to solve a variety of mathematical puzzles and problems that they may experience in </w:t>
      </w:r>
      <w:proofErr w:type="spellStart"/>
      <w:proofErr w:type="gramStart"/>
      <w:r>
        <w:rPr>
          <w:sz w:val="24"/>
          <w:szCs w:val="24"/>
        </w:rPr>
        <w:t>every day</w:t>
      </w:r>
      <w:proofErr w:type="spellEnd"/>
      <w:proofErr w:type="gramEnd"/>
      <w:r>
        <w:rPr>
          <w:sz w:val="24"/>
          <w:szCs w:val="24"/>
        </w:rPr>
        <w:t xml:space="preserve"> life.</w:t>
      </w:r>
    </w:p>
    <w:p w14:paraId="1B066F3A" w14:textId="77777777" w:rsidR="00705379" w:rsidRPr="00BC5E3E" w:rsidRDefault="00705379">
      <w:pPr>
        <w:jc w:val="both"/>
        <w:rPr>
          <w:sz w:val="24"/>
          <w:szCs w:val="24"/>
        </w:rPr>
      </w:pPr>
    </w:p>
    <w:sectPr w:rsidR="00705379" w:rsidRPr="00BC5E3E" w:rsidSect="00C15D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3FF"/>
    <w:multiLevelType w:val="hybridMultilevel"/>
    <w:tmpl w:val="10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14A4"/>
    <w:multiLevelType w:val="hybridMultilevel"/>
    <w:tmpl w:val="B7642F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71582"/>
    <w:multiLevelType w:val="hybridMultilevel"/>
    <w:tmpl w:val="B76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B606E"/>
    <w:multiLevelType w:val="hybridMultilevel"/>
    <w:tmpl w:val="4F5A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040BF"/>
    <w:multiLevelType w:val="hybridMultilevel"/>
    <w:tmpl w:val="35209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E31E92"/>
    <w:multiLevelType w:val="hybridMultilevel"/>
    <w:tmpl w:val="13C0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470951">
    <w:abstractNumId w:val="3"/>
  </w:num>
  <w:num w:numId="2" w16cid:durableId="2125490735">
    <w:abstractNumId w:val="2"/>
  </w:num>
  <w:num w:numId="3" w16cid:durableId="2078936020">
    <w:abstractNumId w:val="1"/>
  </w:num>
  <w:num w:numId="4" w16cid:durableId="1026909480">
    <w:abstractNumId w:val="0"/>
  </w:num>
  <w:num w:numId="5" w16cid:durableId="2114007880">
    <w:abstractNumId w:val="4"/>
  </w:num>
  <w:num w:numId="6" w16cid:durableId="506559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29"/>
    <w:rsid w:val="00664FDC"/>
    <w:rsid w:val="00705379"/>
    <w:rsid w:val="008C570D"/>
    <w:rsid w:val="00A1083F"/>
    <w:rsid w:val="00B60807"/>
    <w:rsid w:val="00BC5E3E"/>
    <w:rsid w:val="00C15D29"/>
    <w:rsid w:val="00DE002B"/>
    <w:rsid w:val="00ED7D0E"/>
    <w:rsid w:val="00F8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17B1"/>
  <w15:chartTrackingRefBased/>
  <w15:docId w15:val="{C2D4A54A-84A9-4426-965B-0CA0C6D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White Horse Federation</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Reading</dc:creator>
  <cp:keywords/>
  <dc:description/>
  <cp:lastModifiedBy>Sarah Reading</cp:lastModifiedBy>
  <cp:revision>1</cp:revision>
  <dcterms:created xsi:type="dcterms:W3CDTF">2023-09-05T12:22:00Z</dcterms:created>
  <dcterms:modified xsi:type="dcterms:W3CDTF">2023-09-05T13:46:00Z</dcterms:modified>
</cp:coreProperties>
</file>