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37A1" w14:textId="16982423" w:rsidR="00D14D27" w:rsidRPr="009231B4" w:rsidRDefault="00D74919">
      <w:pPr>
        <w:spacing w:after="0" w:line="259" w:lineRule="auto"/>
        <w:ind w:firstLine="0"/>
        <w:rPr>
          <w:color w:val="auto"/>
        </w:rPr>
      </w:pPr>
      <w:r w:rsidRPr="009231B4">
        <w:rPr>
          <w:color w:val="auto"/>
        </w:rPr>
        <w:t xml:space="preserve"> </w:t>
      </w:r>
    </w:p>
    <w:p w14:paraId="374B036A" w14:textId="65AEFF4C" w:rsidR="00D14D27" w:rsidRPr="009231B4" w:rsidRDefault="009231B4">
      <w:pPr>
        <w:spacing w:after="0" w:line="259" w:lineRule="auto"/>
        <w:ind w:firstLine="0"/>
        <w:rPr>
          <w:color w:val="auto"/>
        </w:rPr>
      </w:pPr>
      <w:r>
        <w:rPr>
          <w:noProof/>
          <w:color w:val="auto"/>
        </w:rPr>
        <w:drawing>
          <wp:anchor distT="0" distB="0" distL="114300" distR="114300" simplePos="0" relativeHeight="251658240" behindDoc="0" locked="0" layoutInCell="1" allowOverlap="1" wp14:anchorId="1AC02758" wp14:editId="15C98A74">
            <wp:simplePos x="0" y="0"/>
            <wp:positionH relativeFrom="column">
              <wp:posOffset>2124710</wp:posOffset>
            </wp:positionH>
            <wp:positionV relativeFrom="paragraph">
              <wp:posOffset>22860</wp:posOffset>
            </wp:positionV>
            <wp:extent cx="2552700" cy="1940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2700" cy="1940560"/>
                    </a:xfrm>
                    <a:prstGeom prst="rect">
                      <a:avLst/>
                    </a:prstGeom>
                  </pic:spPr>
                </pic:pic>
              </a:graphicData>
            </a:graphic>
            <wp14:sizeRelH relativeFrom="margin">
              <wp14:pctWidth>0</wp14:pctWidth>
            </wp14:sizeRelH>
            <wp14:sizeRelV relativeFrom="margin">
              <wp14:pctHeight>0</wp14:pctHeight>
            </wp14:sizeRelV>
          </wp:anchor>
        </w:drawing>
      </w:r>
      <w:r w:rsidR="00D74919" w:rsidRPr="009231B4">
        <w:rPr>
          <w:color w:val="auto"/>
          <w:sz w:val="24"/>
        </w:rPr>
        <w:t xml:space="preserve"> </w:t>
      </w:r>
    </w:p>
    <w:p w14:paraId="53CED0E0" w14:textId="5456179C" w:rsidR="00D14D27" w:rsidRPr="009231B4" w:rsidRDefault="00D74919">
      <w:pPr>
        <w:spacing w:after="0" w:line="259" w:lineRule="auto"/>
        <w:ind w:firstLine="0"/>
        <w:rPr>
          <w:color w:val="auto"/>
        </w:rPr>
      </w:pPr>
      <w:r w:rsidRPr="009231B4">
        <w:rPr>
          <w:color w:val="auto"/>
          <w:sz w:val="24"/>
        </w:rPr>
        <w:t xml:space="preserve"> </w:t>
      </w:r>
    </w:p>
    <w:p w14:paraId="402FF346" w14:textId="059A95D5" w:rsidR="00D14D27" w:rsidRPr="009231B4" w:rsidRDefault="00D74919">
      <w:pPr>
        <w:spacing w:after="0" w:line="259" w:lineRule="auto"/>
        <w:ind w:firstLine="0"/>
        <w:rPr>
          <w:color w:val="auto"/>
        </w:rPr>
      </w:pPr>
      <w:r w:rsidRPr="009231B4">
        <w:rPr>
          <w:color w:val="auto"/>
          <w:sz w:val="24"/>
        </w:rPr>
        <w:t xml:space="preserve"> </w:t>
      </w:r>
    </w:p>
    <w:p w14:paraId="0A948C5D" w14:textId="79CA73FE" w:rsidR="00D14D27" w:rsidRPr="009231B4" w:rsidRDefault="00D74919">
      <w:pPr>
        <w:spacing w:after="0" w:line="259" w:lineRule="auto"/>
        <w:ind w:firstLine="0"/>
        <w:rPr>
          <w:color w:val="auto"/>
        </w:rPr>
      </w:pPr>
      <w:r w:rsidRPr="009231B4">
        <w:rPr>
          <w:color w:val="auto"/>
          <w:sz w:val="24"/>
        </w:rPr>
        <w:t xml:space="preserve"> </w:t>
      </w:r>
    </w:p>
    <w:p w14:paraId="7FD98DA5" w14:textId="26048230" w:rsidR="00D14D27" w:rsidRPr="009231B4" w:rsidRDefault="00D74919">
      <w:pPr>
        <w:spacing w:after="0" w:line="259" w:lineRule="auto"/>
        <w:ind w:firstLine="0"/>
        <w:rPr>
          <w:color w:val="auto"/>
        </w:rPr>
      </w:pPr>
      <w:r w:rsidRPr="009231B4">
        <w:rPr>
          <w:color w:val="auto"/>
          <w:sz w:val="24"/>
        </w:rPr>
        <w:t xml:space="preserve"> </w:t>
      </w:r>
    </w:p>
    <w:p w14:paraId="581BE62E" w14:textId="005BF878" w:rsidR="00D14D27" w:rsidRPr="009231B4" w:rsidRDefault="00D74919">
      <w:pPr>
        <w:spacing w:after="0" w:line="259" w:lineRule="auto"/>
        <w:ind w:firstLine="0"/>
        <w:rPr>
          <w:color w:val="auto"/>
        </w:rPr>
      </w:pPr>
      <w:r w:rsidRPr="009231B4">
        <w:rPr>
          <w:color w:val="auto"/>
          <w:sz w:val="24"/>
        </w:rPr>
        <w:t xml:space="preserve"> </w:t>
      </w:r>
    </w:p>
    <w:p w14:paraId="415A5AA3" w14:textId="77777777" w:rsidR="00D14D27" w:rsidRPr="009231B4" w:rsidRDefault="00D74919">
      <w:pPr>
        <w:spacing w:after="0" w:line="259" w:lineRule="auto"/>
        <w:ind w:firstLine="0"/>
        <w:rPr>
          <w:color w:val="auto"/>
        </w:rPr>
      </w:pPr>
      <w:r w:rsidRPr="009231B4">
        <w:rPr>
          <w:color w:val="auto"/>
          <w:sz w:val="24"/>
        </w:rPr>
        <w:t xml:space="preserve"> </w:t>
      </w:r>
    </w:p>
    <w:p w14:paraId="4253F695" w14:textId="7EE72129" w:rsidR="00D14D27" w:rsidRPr="009231B4" w:rsidRDefault="00D74919">
      <w:pPr>
        <w:spacing w:after="0" w:line="259" w:lineRule="auto"/>
        <w:ind w:firstLine="0"/>
        <w:rPr>
          <w:color w:val="auto"/>
        </w:rPr>
      </w:pPr>
      <w:r w:rsidRPr="009231B4">
        <w:rPr>
          <w:color w:val="auto"/>
          <w:sz w:val="24"/>
        </w:rPr>
        <w:t xml:space="preserve"> </w:t>
      </w:r>
    </w:p>
    <w:p w14:paraId="2A278407" w14:textId="77777777" w:rsidR="00D14D27" w:rsidRPr="009231B4" w:rsidRDefault="00D74919">
      <w:pPr>
        <w:spacing w:after="0" w:line="259" w:lineRule="auto"/>
        <w:ind w:firstLine="0"/>
        <w:rPr>
          <w:color w:val="auto"/>
        </w:rPr>
      </w:pPr>
      <w:r w:rsidRPr="009231B4">
        <w:rPr>
          <w:color w:val="auto"/>
          <w:sz w:val="24"/>
        </w:rPr>
        <w:t xml:space="preserve"> </w:t>
      </w:r>
    </w:p>
    <w:p w14:paraId="4900C879" w14:textId="77777777" w:rsidR="00D14D27" w:rsidRPr="009231B4" w:rsidRDefault="00D74919">
      <w:pPr>
        <w:spacing w:after="0" w:line="259" w:lineRule="auto"/>
        <w:ind w:firstLine="0"/>
        <w:rPr>
          <w:color w:val="auto"/>
        </w:rPr>
      </w:pPr>
      <w:r w:rsidRPr="009231B4">
        <w:rPr>
          <w:color w:val="auto"/>
          <w:sz w:val="24"/>
        </w:rPr>
        <w:t xml:space="preserve"> </w:t>
      </w:r>
    </w:p>
    <w:p w14:paraId="3E17B22F" w14:textId="77777777" w:rsidR="00D14D27" w:rsidRPr="009231B4" w:rsidRDefault="00D74919">
      <w:pPr>
        <w:spacing w:after="0" w:line="259" w:lineRule="auto"/>
        <w:ind w:firstLine="0"/>
        <w:rPr>
          <w:color w:val="auto"/>
        </w:rPr>
      </w:pPr>
      <w:r w:rsidRPr="009231B4">
        <w:rPr>
          <w:color w:val="auto"/>
          <w:sz w:val="24"/>
        </w:rPr>
        <w:t xml:space="preserve"> </w:t>
      </w:r>
    </w:p>
    <w:p w14:paraId="2E1B81F4" w14:textId="77777777" w:rsidR="00D14D27" w:rsidRPr="009231B4" w:rsidRDefault="00D74919">
      <w:pPr>
        <w:spacing w:after="0" w:line="259" w:lineRule="auto"/>
        <w:ind w:firstLine="0"/>
        <w:rPr>
          <w:color w:val="auto"/>
        </w:rPr>
      </w:pPr>
      <w:r w:rsidRPr="009231B4">
        <w:rPr>
          <w:color w:val="auto"/>
          <w:sz w:val="24"/>
        </w:rPr>
        <w:t xml:space="preserve"> </w:t>
      </w:r>
    </w:p>
    <w:p w14:paraId="70552F0D" w14:textId="77777777" w:rsidR="00D14D27" w:rsidRPr="009231B4" w:rsidRDefault="00D74919">
      <w:pPr>
        <w:spacing w:after="0" w:line="259" w:lineRule="auto"/>
        <w:ind w:firstLine="0"/>
        <w:rPr>
          <w:color w:val="auto"/>
        </w:rPr>
      </w:pPr>
      <w:r w:rsidRPr="009231B4">
        <w:rPr>
          <w:color w:val="auto"/>
          <w:sz w:val="24"/>
        </w:rPr>
        <w:t xml:space="preserve"> </w:t>
      </w:r>
    </w:p>
    <w:p w14:paraId="0EFAF585" w14:textId="77777777" w:rsidR="00D14D27" w:rsidRPr="009231B4" w:rsidRDefault="00D74919">
      <w:pPr>
        <w:spacing w:after="0" w:line="259" w:lineRule="auto"/>
        <w:ind w:firstLine="0"/>
        <w:rPr>
          <w:color w:val="auto"/>
        </w:rPr>
      </w:pPr>
      <w:r w:rsidRPr="009231B4">
        <w:rPr>
          <w:color w:val="auto"/>
          <w:sz w:val="24"/>
        </w:rPr>
        <w:t xml:space="preserve"> </w:t>
      </w:r>
    </w:p>
    <w:p w14:paraId="22E296E7" w14:textId="35216EBE" w:rsidR="00D14D27" w:rsidRPr="009231B4" w:rsidRDefault="00D74919" w:rsidP="009231B4">
      <w:pPr>
        <w:spacing w:after="455" w:line="259" w:lineRule="auto"/>
        <w:ind w:firstLine="0"/>
        <w:rPr>
          <w:color w:val="auto"/>
        </w:rPr>
      </w:pPr>
      <w:r w:rsidRPr="009231B4">
        <w:rPr>
          <w:b/>
          <w:color w:val="auto"/>
          <w:sz w:val="72"/>
        </w:rPr>
        <w:t xml:space="preserve">DATA PROTECTION POLICY </w:t>
      </w:r>
    </w:p>
    <w:p w14:paraId="69C3E4D2" w14:textId="77777777" w:rsidR="00D14D27" w:rsidRPr="009231B4" w:rsidRDefault="00D74919">
      <w:pPr>
        <w:spacing w:after="143" w:line="259" w:lineRule="auto"/>
        <w:ind w:left="10" w:right="4263" w:hanging="10"/>
        <w:rPr>
          <w:color w:val="auto"/>
        </w:rPr>
      </w:pPr>
      <w:r w:rsidRPr="009231B4">
        <w:rPr>
          <w:b/>
          <w:color w:val="auto"/>
          <w:sz w:val="72"/>
        </w:rPr>
        <w:t>(Exams)</w:t>
      </w:r>
      <w:r w:rsidRPr="009231B4">
        <w:rPr>
          <w:color w:val="auto"/>
          <w:sz w:val="24"/>
        </w:rPr>
        <w:t xml:space="preserve"> </w:t>
      </w:r>
      <w:r w:rsidRPr="009231B4">
        <w:rPr>
          <w:color w:val="auto"/>
          <w:sz w:val="72"/>
        </w:rPr>
        <w:t>2025/26</w:t>
      </w:r>
      <w:r w:rsidRPr="009231B4">
        <w:rPr>
          <w:b/>
          <w:color w:val="auto"/>
          <w:sz w:val="72"/>
        </w:rPr>
        <w:t xml:space="preserve"> </w:t>
      </w:r>
    </w:p>
    <w:tbl>
      <w:tblPr>
        <w:tblStyle w:val="TableGrid"/>
        <w:tblpPr w:leftFromText="180" w:rightFromText="180" w:vertAnchor="text" w:horzAnchor="margin" w:tblpXSpec="center" w:tblpY="2"/>
        <w:tblW w:w="3965" w:type="dxa"/>
        <w:tblInd w:w="0" w:type="dxa"/>
        <w:tblCellMar>
          <w:top w:w="0" w:type="dxa"/>
          <w:left w:w="106" w:type="dxa"/>
          <w:bottom w:w="0" w:type="dxa"/>
          <w:right w:w="102" w:type="dxa"/>
        </w:tblCellMar>
        <w:tblLook w:val="04A0" w:firstRow="1" w:lastRow="0" w:firstColumn="1" w:lastColumn="0" w:noHBand="0" w:noVBand="1"/>
      </w:tblPr>
      <w:tblGrid>
        <w:gridCol w:w="2003"/>
        <w:gridCol w:w="1962"/>
      </w:tblGrid>
      <w:tr w:rsidR="009231B4" w:rsidRPr="009231B4" w14:paraId="33CD96D8" w14:textId="77777777" w:rsidTr="009231B4">
        <w:trPr>
          <w:trHeight w:val="532"/>
        </w:trPr>
        <w:tc>
          <w:tcPr>
            <w:tcW w:w="3965" w:type="dxa"/>
            <w:gridSpan w:val="2"/>
            <w:tcBorders>
              <w:top w:val="single" w:sz="8" w:space="0" w:color="000000"/>
              <w:left w:val="single" w:sz="8" w:space="0" w:color="000000"/>
              <w:bottom w:val="single" w:sz="8" w:space="0" w:color="000000"/>
              <w:right w:val="single" w:sz="8" w:space="0" w:color="000000"/>
            </w:tcBorders>
            <w:shd w:val="clear" w:color="auto" w:fill="F2F2F2"/>
            <w:vAlign w:val="center"/>
          </w:tcPr>
          <w:p w14:paraId="7C17B026" w14:textId="77777777" w:rsidR="009231B4" w:rsidRPr="009231B4" w:rsidRDefault="009231B4" w:rsidP="009231B4">
            <w:pPr>
              <w:spacing w:after="0" w:line="259" w:lineRule="auto"/>
              <w:ind w:left="0" w:firstLine="0"/>
              <w:rPr>
                <w:color w:val="auto"/>
              </w:rPr>
            </w:pPr>
            <w:r w:rsidRPr="009231B4">
              <w:rPr>
                <w:color w:val="auto"/>
                <w:sz w:val="20"/>
              </w:rPr>
              <w:t xml:space="preserve">Approved/reviewed by </w:t>
            </w:r>
          </w:p>
        </w:tc>
      </w:tr>
      <w:tr w:rsidR="009231B4" w:rsidRPr="009231B4" w14:paraId="0D6C587B" w14:textId="77777777" w:rsidTr="009231B4">
        <w:trPr>
          <w:trHeight w:val="571"/>
        </w:trPr>
        <w:tc>
          <w:tcPr>
            <w:tcW w:w="3965" w:type="dxa"/>
            <w:gridSpan w:val="2"/>
            <w:tcBorders>
              <w:top w:val="single" w:sz="8" w:space="0" w:color="000000"/>
              <w:left w:val="single" w:sz="8" w:space="0" w:color="000000"/>
              <w:bottom w:val="single" w:sz="8" w:space="0" w:color="000000"/>
              <w:right w:val="single" w:sz="8" w:space="0" w:color="000000"/>
            </w:tcBorders>
            <w:vAlign w:val="center"/>
          </w:tcPr>
          <w:p w14:paraId="7120ABD1" w14:textId="4102F9F4" w:rsidR="009231B4" w:rsidRPr="009231B4" w:rsidRDefault="009231B4" w:rsidP="009231B4">
            <w:pPr>
              <w:spacing w:after="0" w:line="259" w:lineRule="auto"/>
              <w:ind w:left="0" w:firstLine="0"/>
              <w:rPr>
                <w:color w:val="auto"/>
              </w:rPr>
            </w:pPr>
            <w:r>
              <w:rPr>
                <w:color w:val="auto"/>
              </w:rPr>
              <w:t xml:space="preserve">Andrew Grant </w:t>
            </w:r>
          </w:p>
        </w:tc>
      </w:tr>
      <w:tr w:rsidR="009231B4" w:rsidRPr="009231B4" w14:paraId="3B59FA51" w14:textId="77777777" w:rsidTr="009231B4">
        <w:trPr>
          <w:trHeight w:val="560"/>
        </w:trPr>
        <w:tc>
          <w:tcPr>
            <w:tcW w:w="2003"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108B1B5D" w14:textId="77777777" w:rsidR="009231B4" w:rsidRPr="009231B4" w:rsidRDefault="009231B4" w:rsidP="009231B4">
            <w:pPr>
              <w:spacing w:after="0" w:line="259" w:lineRule="auto"/>
              <w:ind w:left="0" w:firstLine="0"/>
              <w:rPr>
                <w:color w:val="auto"/>
              </w:rPr>
            </w:pPr>
            <w:r w:rsidRPr="009231B4">
              <w:rPr>
                <w:color w:val="auto"/>
                <w:sz w:val="20"/>
              </w:rPr>
              <w:t xml:space="preserve">Date of next review </w:t>
            </w:r>
          </w:p>
        </w:tc>
        <w:tc>
          <w:tcPr>
            <w:tcW w:w="1962" w:type="dxa"/>
            <w:tcBorders>
              <w:top w:val="single" w:sz="8" w:space="0" w:color="000000"/>
              <w:left w:val="single" w:sz="8" w:space="0" w:color="000000"/>
              <w:bottom w:val="single" w:sz="8" w:space="0" w:color="000000"/>
              <w:right w:val="single" w:sz="8" w:space="0" w:color="000000"/>
            </w:tcBorders>
            <w:vAlign w:val="center"/>
          </w:tcPr>
          <w:p w14:paraId="43A5667F" w14:textId="77777777" w:rsidR="009231B4" w:rsidRPr="009231B4" w:rsidRDefault="009231B4" w:rsidP="009231B4">
            <w:pPr>
              <w:spacing w:after="0" w:line="259" w:lineRule="auto"/>
              <w:ind w:left="6" w:firstLine="0"/>
              <w:rPr>
                <w:color w:val="auto"/>
              </w:rPr>
            </w:pPr>
            <w:r w:rsidRPr="009231B4">
              <w:rPr>
                <w:color w:val="auto"/>
              </w:rPr>
              <w:t xml:space="preserve">November 2026 </w:t>
            </w:r>
          </w:p>
        </w:tc>
      </w:tr>
    </w:tbl>
    <w:p w14:paraId="1B2E4261" w14:textId="77777777" w:rsidR="00D14D27" w:rsidRPr="009231B4" w:rsidRDefault="00D74919">
      <w:pPr>
        <w:spacing w:after="18" w:line="259" w:lineRule="auto"/>
        <w:ind w:firstLine="0"/>
        <w:rPr>
          <w:color w:val="auto"/>
        </w:rPr>
      </w:pPr>
      <w:r w:rsidRPr="009231B4">
        <w:rPr>
          <w:color w:val="auto"/>
          <w:sz w:val="24"/>
        </w:rPr>
        <w:t xml:space="preserve"> </w:t>
      </w:r>
    </w:p>
    <w:p w14:paraId="58B540E7" w14:textId="77777777" w:rsidR="00D14D27" w:rsidRPr="009231B4" w:rsidRDefault="00D74919">
      <w:pPr>
        <w:spacing w:after="18" w:line="259" w:lineRule="auto"/>
        <w:ind w:firstLine="0"/>
        <w:rPr>
          <w:color w:val="auto"/>
        </w:rPr>
      </w:pPr>
      <w:r w:rsidRPr="009231B4">
        <w:rPr>
          <w:color w:val="auto"/>
          <w:sz w:val="24"/>
        </w:rPr>
        <w:t xml:space="preserve"> </w:t>
      </w:r>
    </w:p>
    <w:p w14:paraId="3C87CA91" w14:textId="77777777" w:rsidR="00D14D27" w:rsidRPr="009231B4" w:rsidRDefault="00D74919">
      <w:pPr>
        <w:spacing w:after="18" w:line="259" w:lineRule="auto"/>
        <w:ind w:firstLine="0"/>
        <w:rPr>
          <w:color w:val="auto"/>
        </w:rPr>
      </w:pPr>
      <w:r w:rsidRPr="009231B4">
        <w:rPr>
          <w:color w:val="auto"/>
          <w:sz w:val="24"/>
        </w:rPr>
        <w:t xml:space="preserve"> </w:t>
      </w:r>
    </w:p>
    <w:p w14:paraId="74612305" w14:textId="3739B96E" w:rsidR="00D14D27" w:rsidRPr="009231B4" w:rsidRDefault="00D74919" w:rsidP="009231B4">
      <w:pPr>
        <w:spacing w:after="18" w:line="259" w:lineRule="auto"/>
        <w:ind w:firstLine="0"/>
        <w:rPr>
          <w:color w:val="auto"/>
        </w:rPr>
      </w:pPr>
      <w:r w:rsidRPr="009231B4">
        <w:rPr>
          <w:color w:val="auto"/>
        </w:rPr>
        <w:t xml:space="preserve"> </w:t>
      </w:r>
    </w:p>
    <w:p w14:paraId="69EEC095" w14:textId="77777777" w:rsidR="00D14D27" w:rsidRPr="009231B4" w:rsidRDefault="00D74919">
      <w:pPr>
        <w:spacing w:after="225" w:line="259" w:lineRule="auto"/>
        <w:ind w:firstLine="0"/>
        <w:rPr>
          <w:color w:val="auto"/>
        </w:rPr>
      </w:pPr>
      <w:r w:rsidRPr="009231B4">
        <w:rPr>
          <w:b/>
          <w:color w:val="auto"/>
          <w:sz w:val="24"/>
        </w:rPr>
        <w:t xml:space="preserve"> </w:t>
      </w:r>
    </w:p>
    <w:p w14:paraId="075F0892" w14:textId="77777777" w:rsidR="00D14D27" w:rsidRPr="009231B4" w:rsidRDefault="00D74919">
      <w:pPr>
        <w:spacing w:after="151" w:line="259" w:lineRule="auto"/>
        <w:ind w:firstLine="0"/>
        <w:rPr>
          <w:color w:val="auto"/>
        </w:rPr>
      </w:pPr>
      <w:r w:rsidRPr="009231B4">
        <w:rPr>
          <w:color w:val="auto"/>
        </w:rPr>
        <w:t xml:space="preserve"> </w:t>
      </w:r>
      <w:r w:rsidRPr="009231B4">
        <w:rPr>
          <w:color w:val="auto"/>
        </w:rPr>
        <w:tab/>
      </w:r>
      <w:r w:rsidRPr="009231B4">
        <w:rPr>
          <w:b/>
          <w:color w:val="auto"/>
          <w:sz w:val="24"/>
        </w:rPr>
        <w:t xml:space="preserve"> </w:t>
      </w:r>
    </w:p>
    <w:p w14:paraId="63D886DA" w14:textId="57B01376" w:rsidR="00D14D27" w:rsidRPr="009231B4" w:rsidRDefault="00D74919">
      <w:pPr>
        <w:spacing w:after="0" w:line="259" w:lineRule="auto"/>
        <w:ind w:left="0" w:right="29" w:firstLine="0"/>
        <w:jc w:val="right"/>
        <w:rPr>
          <w:color w:val="auto"/>
        </w:rPr>
      </w:pPr>
      <w:r w:rsidRPr="009231B4">
        <w:rPr>
          <w:rFonts w:ascii="Tw Cen MT" w:eastAsia="Tw Cen MT" w:hAnsi="Tw Cen MT" w:cs="Tw Cen MT"/>
          <w:color w:val="auto"/>
          <w:sz w:val="16"/>
        </w:rPr>
        <w:t xml:space="preserve"> </w:t>
      </w:r>
    </w:p>
    <w:p w14:paraId="04BA53C8" w14:textId="77777777" w:rsidR="00D14D27" w:rsidRPr="009231B4" w:rsidRDefault="00D74919">
      <w:pPr>
        <w:pStyle w:val="Heading1"/>
        <w:spacing w:after="0"/>
        <w:ind w:left="10"/>
        <w:rPr>
          <w:color w:val="auto"/>
        </w:rPr>
      </w:pPr>
      <w:r w:rsidRPr="009231B4">
        <w:rPr>
          <w:color w:val="auto"/>
        </w:rPr>
        <w:t xml:space="preserve">Key staff involved in the policy </w:t>
      </w:r>
    </w:p>
    <w:tbl>
      <w:tblPr>
        <w:tblStyle w:val="TableGrid"/>
        <w:tblW w:w="9938" w:type="dxa"/>
        <w:tblInd w:w="27" w:type="dxa"/>
        <w:tblCellMar>
          <w:top w:w="0" w:type="dxa"/>
          <w:left w:w="106" w:type="dxa"/>
          <w:bottom w:w="0" w:type="dxa"/>
          <w:right w:w="115" w:type="dxa"/>
        </w:tblCellMar>
        <w:tblLook w:val="04A0" w:firstRow="1" w:lastRow="0" w:firstColumn="1" w:lastColumn="0" w:noHBand="0" w:noVBand="1"/>
      </w:tblPr>
      <w:tblGrid>
        <w:gridCol w:w="1973"/>
        <w:gridCol w:w="7965"/>
      </w:tblGrid>
      <w:tr w:rsidR="009231B4" w:rsidRPr="009231B4" w14:paraId="035F2B8A" w14:textId="77777777" w:rsidTr="009231B4">
        <w:trPr>
          <w:trHeight w:val="495"/>
        </w:trPr>
        <w:tc>
          <w:tcPr>
            <w:tcW w:w="1973" w:type="dxa"/>
            <w:tcBorders>
              <w:top w:val="single" w:sz="8" w:space="0" w:color="000000"/>
              <w:left w:val="single" w:sz="8" w:space="0" w:color="000000"/>
              <w:bottom w:val="single" w:sz="6" w:space="0" w:color="000000"/>
              <w:right w:val="single" w:sz="6" w:space="0" w:color="000000"/>
            </w:tcBorders>
            <w:shd w:val="clear" w:color="auto" w:fill="F2F2F2"/>
            <w:vAlign w:val="center"/>
          </w:tcPr>
          <w:p w14:paraId="7B2CD96C" w14:textId="77777777" w:rsidR="00D14D27" w:rsidRPr="009231B4" w:rsidRDefault="00D74919">
            <w:pPr>
              <w:spacing w:after="0" w:line="259" w:lineRule="auto"/>
              <w:ind w:left="0" w:firstLine="0"/>
              <w:rPr>
                <w:color w:val="auto"/>
              </w:rPr>
            </w:pPr>
            <w:r w:rsidRPr="009231B4">
              <w:rPr>
                <w:color w:val="auto"/>
                <w:sz w:val="20"/>
              </w:rPr>
              <w:t xml:space="preserve">Role </w:t>
            </w:r>
          </w:p>
        </w:tc>
        <w:tc>
          <w:tcPr>
            <w:tcW w:w="7965" w:type="dxa"/>
            <w:tcBorders>
              <w:top w:val="single" w:sz="8" w:space="0" w:color="000000"/>
              <w:left w:val="single" w:sz="6" w:space="0" w:color="000000"/>
              <w:bottom w:val="single" w:sz="6" w:space="0" w:color="000000"/>
              <w:right w:val="single" w:sz="8" w:space="0" w:color="000000"/>
            </w:tcBorders>
            <w:shd w:val="clear" w:color="auto" w:fill="F2F2F2"/>
            <w:vAlign w:val="center"/>
          </w:tcPr>
          <w:p w14:paraId="029E062A" w14:textId="77777777" w:rsidR="00D14D27" w:rsidRPr="009231B4" w:rsidRDefault="00D74919">
            <w:pPr>
              <w:spacing w:after="0" w:line="259" w:lineRule="auto"/>
              <w:ind w:left="2" w:firstLine="0"/>
              <w:rPr>
                <w:color w:val="auto"/>
              </w:rPr>
            </w:pPr>
            <w:r w:rsidRPr="009231B4">
              <w:rPr>
                <w:color w:val="auto"/>
                <w:sz w:val="20"/>
              </w:rPr>
              <w:t xml:space="preserve">Name(s) </w:t>
            </w:r>
          </w:p>
        </w:tc>
      </w:tr>
      <w:tr w:rsidR="009231B4" w:rsidRPr="009231B4" w14:paraId="3F9D1477" w14:textId="77777777" w:rsidTr="009231B4">
        <w:trPr>
          <w:trHeight w:val="523"/>
        </w:trPr>
        <w:tc>
          <w:tcPr>
            <w:tcW w:w="1973" w:type="dxa"/>
            <w:tcBorders>
              <w:top w:val="single" w:sz="6" w:space="0" w:color="000000"/>
              <w:left w:val="single" w:sz="8" w:space="0" w:color="000000"/>
              <w:bottom w:val="single" w:sz="6" w:space="0" w:color="000000"/>
              <w:right w:val="single" w:sz="6" w:space="0" w:color="000000"/>
            </w:tcBorders>
            <w:vAlign w:val="center"/>
          </w:tcPr>
          <w:p w14:paraId="7515FC0A" w14:textId="77777777" w:rsidR="00D14D27" w:rsidRPr="009231B4" w:rsidRDefault="00D74919">
            <w:pPr>
              <w:spacing w:after="0" w:line="259" w:lineRule="auto"/>
              <w:ind w:left="0" w:firstLine="0"/>
              <w:rPr>
                <w:color w:val="auto"/>
              </w:rPr>
            </w:pPr>
            <w:r w:rsidRPr="009231B4">
              <w:rPr>
                <w:color w:val="auto"/>
                <w:sz w:val="20"/>
              </w:rPr>
              <w:t xml:space="preserve">Head of centre </w:t>
            </w:r>
          </w:p>
        </w:tc>
        <w:tc>
          <w:tcPr>
            <w:tcW w:w="7965" w:type="dxa"/>
            <w:tcBorders>
              <w:top w:val="single" w:sz="6" w:space="0" w:color="000000"/>
              <w:left w:val="single" w:sz="6" w:space="0" w:color="000000"/>
              <w:bottom w:val="single" w:sz="6" w:space="0" w:color="000000"/>
              <w:right w:val="single" w:sz="8" w:space="0" w:color="000000"/>
            </w:tcBorders>
            <w:vAlign w:val="center"/>
          </w:tcPr>
          <w:p w14:paraId="6772F139" w14:textId="5F59ED22" w:rsidR="00D14D27" w:rsidRPr="009231B4" w:rsidRDefault="00D74919">
            <w:pPr>
              <w:spacing w:after="0" w:line="259" w:lineRule="auto"/>
              <w:ind w:left="2" w:firstLine="0"/>
              <w:rPr>
                <w:color w:val="auto"/>
              </w:rPr>
            </w:pPr>
            <w:r w:rsidRPr="009231B4">
              <w:rPr>
                <w:color w:val="auto"/>
              </w:rPr>
              <w:t xml:space="preserve">Mr </w:t>
            </w:r>
            <w:r w:rsidR="009231B4">
              <w:rPr>
                <w:color w:val="auto"/>
              </w:rPr>
              <w:t xml:space="preserve">Lee </w:t>
            </w:r>
            <w:proofErr w:type="spellStart"/>
            <w:r w:rsidR="009231B4">
              <w:rPr>
                <w:color w:val="auto"/>
              </w:rPr>
              <w:t>Fazackerley</w:t>
            </w:r>
            <w:proofErr w:type="spellEnd"/>
          </w:p>
        </w:tc>
      </w:tr>
      <w:tr w:rsidR="009231B4" w:rsidRPr="009231B4" w14:paraId="584151D3" w14:textId="77777777" w:rsidTr="009231B4">
        <w:trPr>
          <w:trHeight w:val="518"/>
        </w:trPr>
        <w:tc>
          <w:tcPr>
            <w:tcW w:w="1973" w:type="dxa"/>
            <w:tcBorders>
              <w:top w:val="single" w:sz="6" w:space="0" w:color="000000"/>
              <w:left w:val="single" w:sz="8" w:space="0" w:color="000000"/>
              <w:bottom w:val="single" w:sz="6" w:space="0" w:color="000000"/>
              <w:right w:val="single" w:sz="6" w:space="0" w:color="000000"/>
            </w:tcBorders>
            <w:vAlign w:val="center"/>
          </w:tcPr>
          <w:p w14:paraId="0826DD45" w14:textId="77777777" w:rsidR="00D14D27" w:rsidRPr="009231B4" w:rsidRDefault="00D74919">
            <w:pPr>
              <w:spacing w:after="0" w:line="259" w:lineRule="auto"/>
              <w:ind w:left="0" w:firstLine="0"/>
              <w:rPr>
                <w:color w:val="auto"/>
              </w:rPr>
            </w:pPr>
            <w:proofErr w:type="gramStart"/>
            <w:r w:rsidRPr="009231B4">
              <w:rPr>
                <w:color w:val="auto"/>
                <w:sz w:val="20"/>
              </w:rPr>
              <w:t>Exams</w:t>
            </w:r>
            <w:proofErr w:type="gramEnd"/>
            <w:r w:rsidRPr="009231B4">
              <w:rPr>
                <w:color w:val="auto"/>
                <w:sz w:val="20"/>
              </w:rPr>
              <w:t xml:space="preserve"> officer </w:t>
            </w:r>
          </w:p>
        </w:tc>
        <w:tc>
          <w:tcPr>
            <w:tcW w:w="7965" w:type="dxa"/>
            <w:tcBorders>
              <w:top w:val="single" w:sz="6" w:space="0" w:color="000000"/>
              <w:left w:val="single" w:sz="6" w:space="0" w:color="000000"/>
              <w:bottom w:val="single" w:sz="6" w:space="0" w:color="000000"/>
              <w:right w:val="single" w:sz="8" w:space="0" w:color="000000"/>
            </w:tcBorders>
            <w:vAlign w:val="center"/>
          </w:tcPr>
          <w:p w14:paraId="560350D8" w14:textId="1F05046A" w:rsidR="00D14D27" w:rsidRPr="009231B4" w:rsidRDefault="00D74919">
            <w:pPr>
              <w:spacing w:after="0" w:line="259" w:lineRule="auto"/>
              <w:ind w:left="2" w:firstLine="0"/>
              <w:rPr>
                <w:color w:val="auto"/>
              </w:rPr>
            </w:pPr>
            <w:r w:rsidRPr="009231B4">
              <w:rPr>
                <w:color w:val="auto"/>
              </w:rPr>
              <w:t>Mr</w:t>
            </w:r>
            <w:r w:rsidR="009231B4">
              <w:rPr>
                <w:color w:val="auto"/>
              </w:rPr>
              <w:t xml:space="preserve"> Andrew Grant </w:t>
            </w:r>
          </w:p>
        </w:tc>
      </w:tr>
      <w:tr w:rsidR="009231B4" w:rsidRPr="009231B4" w14:paraId="694F5B51" w14:textId="77777777" w:rsidTr="009231B4">
        <w:trPr>
          <w:trHeight w:val="521"/>
        </w:trPr>
        <w:tc>
          <w:tcPr>
            <w:tcW w:w="1973" w:type="dxa"/>
            <w:tcBorders>
              <w:top w:val="single" w:sz="6" w:space="0" w:color="000000"/>
              <w:left w:val="single" w:sz="8" w:space="0" w:color="000000"/>
              <w:bottom w:val="single" w:sz="6" w:space="0" w:color="000000"/>
              <w:right w:val="single" w:sz="6" w:space="0" w:color="000000"/>
            </w:tcBorders>
            <w:vAlign w:val="center"/>
          </w:tcPr>
          <w:p w14:paraId="54E2F80E" w14:textId="77777777" w:rsidR="00D14D27" w:rsidRPr="009231B4" w:rsidRDefault="00D74919">
            <w:pPr>
              <w:spacing w:after="0" w:line="259" w:lineRule="auto"/>
              <w:ind w:left="0" w:firstLine="0"/>
              <w:rPr>
                <w:color w:val="auto"/>
              </w:rPr>
            </w:pPr>
            <w:r w:rsidRPr="009231B4">
              <w:rPr>
                <w:color w:val="auto"/>
                <w:sz w:val="20"/>
              </w:rPr>
              <w:t xml:space="preserve">IT manager </w:t>
            </w:r>
          </w:p>
        </w:tc>
        <w:tc>
          <w:tcPr>
            <w:tcW w:w="7965" w:type="dxa"/>
            <w:tcBorders>
              <w:top w:val="single" w:sz="6" w:space="0" w:color="000000"/>
              <w:left w:val="single" w:sz="6" w:space="0" w:color="000000"/>
              <w:bottom w:val="single" w:sz="6" w:space="0" w:color="000000"/>
              <w:right w:val="single" w:sz="8" w:space="0" w:color="000000"/>
            </w:tcBorders>
            <w:vAlign w:val="center"/>
          </w:tcPr>
          <w:p w14:paraId="22531B69" w14:textId="35738FA3" w:rsidR="00D14D27" w:rsidRPr="009231B4" w:rsidRDefault="00D74919">
            <w:pPr>
              <w:spacing w:after="0" w:line="259" w:lineRule="auto"/>
              <w:ind w:left="2" w:firstLine="0"/>
              <w:rPr>
                <w:color w:val="auto"/>
              </w:rPr>
            </w:pPr>
            <w:r w:rsidRPr="009231B4">
              <w:rPr>
                <w:color w:val="auto"/>
              </w:rPr>
              <w:t>Mr</w:t>
            </w:r>
            <w:r w:rsidR="009231B4">
              <w:rPr>
                <w:color w:val="auto"/>
              </w:rPr>
              <w:t xml:space="preserve"> Jeff Bamber </w:t>
            </w:r>
            <w:r w:rsidRPr="009231B4">
              <w:rPr>
                <w:color w:val="auto"/>
              </w:rPr>
              <w:t xml:space="preserve"> </w:t>
            </w:r>
          </w:p>
        </w:tc>
      </w:tr>
      <w:tr w:rsidR="009231B4" w:rsidRPr="009231B4" w14:paraId="4DDEAA5D" w14:textId="77777777" w:rsidTr="009231B4">
        <w:trPr>
          <w:trHeight w:val="523"/>
        </w:trPr>
        <w:tc>
          <w:tcPr>
            <w:tcW w:w="1973" w:type="dxa"/>
            <w:tcBorders>
              <w:top w:val="single" w:sz="6" w:space="0" w:color="000000"/>
              <w:left w:val="single" w:sz="8" w:space="0" w:color="000000"/>
              <w:bottom w:val="single" w:sz="8" w:space="0" w:color="000000"/>
              <w:right w:val="single" w:sz="6" w:space="0" w:color="000000"/>
            </w:tcBorders>
            <w:vAlign w:val="center"/>
          </w:tcPr>
          <w:p w14:paraId="246F19E7" w14:textId="77777777" w:rsidR="00D14D27" w:rsidRPr="009231B4" w:rsidRDefault="00D74919">
            <w:pPr>
              <w:spacing w:after="0" w:line="259" w:lineRule="auto"/>
              <w:ind w:left="0" w:firstLine="0"/>
              <w:rPr>
                <w:color w:val="auto"/>
              </w:rPr>
            </w:pPr>
            <w:r w:rsidRPr="009231B4">
              <w:rPr>
                <w:color w:val="auto"/>
                <w:sz w:val="20"/>
              </w:rPr>
              <w:t xml:space="preserve">Data manager  </w:t>
            </w:r>
          </w:p>
        </w:tc>
        <w:tc>
          <w:tcPr>
            <w:tcW w:w="7965" w:type="dxa"/>
            <w:tcBorders>
              <w:top w:val="single" w:sz="6" w:space="0" w:color="000000"/>
              <w:left w:val="single" w:sz="6" w:space="0" w:color="000000"/>
              <w:bottom w:val="single" w:sz="8" w:space="0" w:color="000000"/>
              <w:right w:val="single" w:sz="8" w:space="0" w:color="000000"/>
            </w:tcBorders>
            <w:vAlign w:val="center"/>
          </w:tcPr>
          <w:p w14:paraId="554186D6" w14:textId="2297322A" w:rsidR="00D14D27" w:rsidRPr="009231B4" w:rsidRDefault="00D74919">
            <w:pPr>
              <w:spacing w:after="0" w:line="259" w:lineRule="auto"/>
              <w:ind w:left="2" w:firstLine="0"/>
              <w:rPr>
                <w:color w:val="auto"/>
              </w:rPr>
            </w:pPr>
            <w:r w:rsidRPr="009231B4">
              <w:rPr>
                <w:color w:val="auto"/>
              </w:rPr>
              <w:t>Mr</w:t>
            </w:r>
            <w:r w:rsidR="009231B4">
              <w:rPr>
                <w:color w:val="auto"/>
              </w:rPr>
              <w:t xml:space="preserve"> Andrew Grant</w:t>
            </w:r>
          </w:p>
        </w:tc>
      </w:tr>
    </w:tbl>
    <w:p w14:paraId="723A9DD4" w14:textId="77777777" w:rsidR="00D14D27" w:rsidRPr="009231B4" w:rsidRDefault="00D74919">
      <w:pPr>
        <w:spacing w:after="227" w:line="259" w:lineRule="auto"/>
        <w:ind w:firstLine="0"/>
        <w:rPr>
          <w:color w:val="auto"/>
        </w:rPr>
      </w:pPr>
      <w:r w:rsidRPr="009231B4">
        <w:rPr>
          <w:color w:val="auto"/>
        </w:rPr>
        <w:t xml:space="preserve"> </w:t>
      </w:r>
    </w:p>
    <w:p w14:paraId="4DC5CB5F" w14:textId="77777777" w:rsidR="00D14D27" w:rsidRPr="009231B4" w:rsidRDefault="00D74919">
      <w:pPr>
        <w:spacing w:after="0" w:line="259" w:lineRule="auto"/>
        <w:ind w:firstLine="0"/>
        <w:rPr>
          <w:color w:val="auto"/>
        </w:rPr>
      </w:pPr>
      <w:r w:rsidRPr="009231B4">
        <w:rPr>
          <w:color w:val="auto"/>
        </w:rPr>
        <w:t xml:space="preserve"> </w:t>
      </w:r>
      <w:r w:rsidRPr="009231B4">
        <w:rPr>
          <w:color w:val="auto"/>
        </w:rPr>
        <w:tab/>
        <w:t xml:space="preserve"> </w:t>
      </w:r>
      <w:r w:rsidRPr="009231B4">
        <w:rPr>
          <w:color w:val="auto"/>
        </w:rPr>
        <w:br w:type="page"/>
      </w:r>
    </w:p>
    <w:p w14:paraId="3817D101" w14:textId="77777777" w:rsidR="00D14D27" w:rsidRPr="009231B4" w:rsidRDefault="00D74919">
      <w:pPr>
        <w:pStyle w:val="Heading1"/>
        <w:spacing w:after="128"/>
        <w:ind w:left="10"/>
        <w:rPr>
          <w:color w:val="auto"/>
        </w:rPr>
      </w:pPr>
      <w:r w:rsidRPr="009231B4">
        <w:rPr>
          <w:color w:val="auto"/>
        </w:rPr>
        <w:lastRenderedPageBreak/>
        <w:t xml:space="preserve">Contents </w:t>
      </w:r>
    </w:p>
    <w:p w14:paraId="04B9F6DF" w14:textId="77777777" w:rsidR="00D14D27" w:rsidRPr="009231B4" w:rsidRDefault="00D74919">
      <w:pPr>
        <w:ind w:right="2"/>
        <w:rPr>
          <w:color w:val="auto"/>
        </w:rPr>
      </w:pPr>
      <w:r w:rsidRPr="009231B4">
        <w:rPr>
          <w:color w:val="auto"/>
        </w:rPr>
        <w:t>Key staff involved in the policy ..................................................................................................... 2</w:t>
      </w:r>
      <w:r w:rsidRPr="009231B4">
        <w:rPr>
          <w:rFonts w:ascii="Calibri" w:eastAsia="Calibri" w:hAnsi="Calibri" w:cs="Calibri"/>
          <w:color w:val="auto"/>
          <w:sz w:val="24"/>
        </w:rPr>
        <w:t xml:space="preserve"> </w:t>
      </w:r>
    </w:p>
    <w:p w14:paraId="6D4084E1" w14:textId="77777777" w:rsidR="00D14D27" w:rsidRPr="009231B4" w:rsidRDefault="00D74919">
      <w:pPr>
        <w:ind w:right="2"/>
        <w:rPr>
          <w:color w:val="auto"/>
        </w:rPr>
      </w:pPr>
      <w:r w:rsidRPr="009231B4">
        <w:rPr>
          <w:color w:val="auto"/>
        </w:rPr>
        <w:t>Purpose of the policy ................................................................................................</w:t>
      </w:r>
      <w:r w:rsidRPr="009231B4">
        <w:rPr>
          <w:color w:val="auto"/>
        </w:rPr>
        <w:t>................... 4</w:t>
      </w:r>
      <w:r w:rsidRPr="009231B4">
        <w:rPr>
          <w:rFonts w:ascii="Calibri" w:eastAsia="Calibri" w:hAnsi="Calibri" w:cs="Calibri"/>
          <w:color w:val="auto"/>
          <w:sz w:val="24"/>
        </w:rPr>
        <w:t xml:space="preserve"> </w:t>
      </w:r>
    </w:p>
    <w:p w14:paraId="5F368A99" w14:textId="77777777" w:rsidR="00D14D27" w:rsidRPr="009231B4" w:rsidRDefault="00D74919">
      <w:pPr>
        <w:ind w:right="2"/>
        <w:rPr>
          <w:color w:val="auto"/>
        </w:rPr>
      </w:pPr>
      <w:r w:rsidRPr="009231B4">
        <w:rPr>
          <w:color w:val="auto"/>
        </w:rPr>
        <w:t>Section 1 – Exams-related information .......................................................................................... 4</w:t>
      </w:r>
      <w:r w:rsidRPr="009231B4">
        <w:rPr>
          <w:rFonts w:ascii="Calibri" w:eastAsia="Calibri" w:hAnsi="Calibri" w:cs="Calibri"/>
          <w:color w:val="auto"/>
          <w:sz w:val="24"/>
        </w:rPr>
        <w:t xml:space="preserve"> </w:t>
      </w:r>
    </w:p>
    <w:p w14:paraId="4A6FE7EC" w14:textId="77777777" w:rsidR="00D14D27" w:rsidRPr="009231B4" w:rsidRDefault="00D74919">
      <w:pPr>
        <w:ind w:right="2"/>
        <w:rPr>
          <w:color w:val="auto"/>
        </w:rPr>
      </w:pPr>
      <w:r w:rsidRPr="009231B4">
        <w:rPr>
          <w:color w:val="auto"/>
        </w:rPr>
        <w:t>Section 2 – Informing candidates of the information held ............................................</w:t>
      </w:r>
      <w:r w:rsidRPr="009231B4">
        <w:rPr>
          <w:color w:val="auto"/>
        </w:rPr>
        <w:t>................... 4</w:t>
      </w:r>
      <w:r w:rsidRPr="009231B4">
        <w:rPr>
          <w:rFonts w:ascii="Calibri" w:eastAsia="Calibri" w:hAnsi="Calibri" w:cs="Calibri"/>
          <w:color w:val="auto"/>
          <w:sz w:val="24"/>
        </w:rPr>
        <w:t xml:space="preserve"> </w:t>
      </w:r>
    </w:p>
    <w:p w14:paraId="4221287E" w14:textId="77777777" w:rsidR="00D14D27" w:rsidRPr="009231B4" w:rsidRDefault="00D74919">
      <w:pPr>
        <w:ind w:right="2"/>
        <w:rPr>
          <w:color w:val="auto"/>
        </w:rPr>
      </w:pPr>
      <w:r w:rsidRPr="009231B4">
        <w:rPr>
          <w:color w:val="auto"/>
        </w:rPr>
        <w:t>Section 3 – Hardware and software .............................................................................................. 5</w:t>
      </w:r>
      <w:r w:rsidRPr="009231B4">
        <w:rPr>
          <w:rFonts w:ascii="Calibri" w:eastAsia="Calibri" w:hAnsi="Calibri" w:cs="Calibri"/>
          <w:color w:val="auto"/>
          <w:sz w:val="24"/>
        </w:rPr>
        <w:t xml:space="preserve"> </w:t>
      </w:r>
    </w:p>
    <w:p w14:paraId="0D1B48DC" w14:textId="77777777" w:rsidR="00D14D27" w:rsidRPr="009231B4" w:rsidRDefault="00D74919">
      <w:pPr>
        <w:ind w:right="2"/>
        <w:rPr>
          <w:color w:val="auto"/>
        </w:rPr>
      </w:pPr>
      <w:r w:rsidRPr="009231B4">
        <w:rPr>
          <w:color w:val="auto"/>
        </w:rPr>
        <w:t>Section 4 – Dealing with data breaches ..............................................................</w:t>
      </w:r>
      <w:r w:rsidRPr="009231B4">
        <w:rPr>
          <w:color w:val="auto"/>
        </w:rPr>
        <w:t>........................... 5</w:t>
      </w:r>
      <w:r w:rsidRPr="009231B4">
        <w:rPr>
          <w:rFonts w:ascii="Calibri" w:eastAsia="Calibri" w:hAnsi="Calibri" w:cs="Calibri"/>
          <w:color w:val="auto"/>
          <w:sz w:val="24"/>
        </w:rPr>
        <w:t xml:space="preserve"> </w:t>
      </w:r>
    </w:p>
    <w:p w14:paraId="6AC6E6A7" w14:textId="77777777" w:rsidR="00D14D27" w:rsidRPr="009231B4" w:rsidRDefault="00D74919">
      <w:pPr>
        <w:ind w:right="2"/>
        <w:rPr>
          <w:color w:val="auto"/>
        </w:rPr>
      </w:pPr>
      <w:r w:rsidRPr="009231B4">
        <w:rPr>
          <w:color w:val="auto"/>
        </w:rPr>
        <w:t>Section 5 – Candidate information, audit and protection measures .................................................. 6</w:t>
      </w:r>
      <w:r w:rsidRPr="009231B4">
        <w:rPr>
          <w:rFonts w:ascii="Calibri" w:eastAsia="Calibri" w:hAnsi="Calibri" w:cs="Calibri"/>
          <w:color w:val="auto"/>
          <w:sz w:val="24"/>
        </w:rPr>
        <w:t xml:space="preserve"> </w:t>
      </w:r>
    </w:p>
    <w:p w14:paraId="6B8B807D" w14:textId="77777777" w:rsidR="00D14D27" w:rsidRPr="009231B4" w:rsidRDefault="00D74919">
      <w:pPr>
        <w:ind w:right="2"/>
        <w:rPr>
          <w:color w:val="auto"/>
        </w:rPr>
      </w:pPr>
      <w:r w:rsidRPr="009231B4">
        <w:rPr>
          <w:color w:val="auto"/>
        </w:rPr>
        <w:t>Section 6 – Data retention periods .......................................................................</w:t>
      </w:r>
      <w:r w:rsidRPr="009231B4">
        <w:rPr>
          <w:color w:val="auto"/>
        </w:rPr>
        <w:t>......................... 6</w:t>
      </w:r>
      <w:r w:rsidRPr="009231B4">
        <w:rPr>
          <w:rFonts w:ascii="Calibri" w:eastAsia="Calibri" w:hAnsi="Calibri" w:cs="Calibri"/>
          <w:color w:val="auto"/>
          <w:sz w:val="24"/>
        </w:rPr>
        <w:t xml:space="preserve"> </w:t>
      </w:r>
    </w:p>
    <w:p w14:paraId="61CD23EF" w14:textId="77777777" w:rsidR="00D14D27" w:rsidRPr="009231B4" w:rsidRDefault="00D74919">
      <w:pPr>
        <w:ind w:right="2"/>
        <w:rPr>
          <w:color w:val="auto"/>
        </w:rPr>
      </w:pPr>
      <w:r w:rsidRPr="009231B4">
        <w:rPr>
          <w:color w:val="auto"/>
        </w:rPr>
        <w:t>Section 7 – Access to information ................................................................................................. 7</w:t>
      </w:r>
      <w:r w:rsidRPr="009231B4">
        <w:rPr>
          <w:rFonts w:ascii="Calibri" w:eastAsia="Calibri" w:hAnsi="Calibri" w:cs="Calibri"/>
          <w:color w:val="auto"/>
          <w:sz w:val="24"/>
        </w:rPr>
        <w:t xml:space="preserve"> </w:t>
      </w:r>
    </w:p>
    <w:p w14:paraId="15E870A7" w14:textId="77777777" w:rsidR="00D14D27" w:rsidRPr="009231B4" w:rsidRDefault="00D74919">
      <w:pPr>
        <w:spacing w:after="10"/>
        <w:ind w:right="2"/>
        <w:rPr>
          <w:color w:val="auto"/>
        </w:rPr>
      </w:pPr>
      <w:r w:rsidRPr="009231B4">
        <w:rPr>
          <w:color w:val="auto"/>
        </w:rPr>
        <w:t>Section 8 – Table recording candidate exams-related information held .......................</w:t>
      </w:r>
      <w:r w:rsidRPr="009231B4">
        <w:rPr>
          <w:color w:val="auto"/>
        </w:rPr>
        <w:t>..................... 8</w:t>
      </w:r>
      <w:r w:rsidRPr="009231B4">
        <w:rPr>
          <w:rFonts w:ascii="Calibri" w:eastAsia="Calibri" w:hAnsi="Calibri" w:cs="Calibri"/>
          <w:color w:val="auto"/>
          <w:sz w:val="24"/>
        </w:rPr>
        <w:t xml:space="preserve"> </w:t>
      </w:r>
    </w:p>
    <w:p w14:paraId="11366E91" w14:textId="77777777" w:rsidR="00D14D27" w:rsidRPr="009231B4" w:rsidRDefault="00D74919">
      <w:pPr>
        <w:spacing w:after="0" w:line="259" w:lineRule="auto"/>
        <w:ind w:firstLine="0"/>
        <w:rPr>
          <w:color w:val="auto"/>
        </w:rPr>
      </w:pPr>
      <w:r w:rsidRPr="009231B4">
        <w:rPr>
          <w:color w:val="auto"/>
        </w:rPr>
        <w:t xml:space="preserve"> </w:t>
      </w:r>
    </w:p>
    <w:p w14:paraId="703C777B" w14:textId="77777777" w:rsidR="00D14D27" w:rsidRPr="009231B4" w:rsidRDefault="00D74919">
      <w:pPr>
        <w:spacing w:after="214" w:line="259" w:lineRule="auto"/>
        <w:ind w:firstLine="0"/>
        <w:rPr>
          <w:color w:val="auto"/>
        </w:rPr>
      </w:pPr>
      <w:r w:rsidRPr="009231B4">
        <w:rPr>
          <w:color w:val="auto"/>
        </w:rPr>
        <w:t xml:space="preserve"> </w:t>
      </w:r>
    </w:p>
    <w:p w14:paraId="5AC09C79" w14:textId="77777777" w:rsidR="00D14D27" w:rsidRPr="009231B4" w:rsidRDefault="00D74919">
      <w:pPr>
        <w:spacing w:after="243" w:line="259" w:lineRule="auto"/>
        <w:ind w:firstLine="0"/>
        <w:rPr>
          <w:color w:val="auto"/>
        </w:rPr>
      </w:pPr>
      <w:r w:rsidRPr="009231B4">
        <w:rPr>
          <w:color w:val="auto"/>
        </w:rPr>
        <w:t xml:space="preserve"> </w:t>
      </w:r>
    </w:p>
    <w:p w14:paraId="2A3FB24A" w14:textId="77777777" w:rsidR="00D14D27" w:rsidRPr="009231B4" w:rsidRDefault="00D74919">
      <w:pPr>
        <w:spacing w:after="0" w:line="259" w:lineRule="auto"/>
        <w:ind w:firstLine="0"/>
        <w:rPr>
          <w:color w:val="auto"/>
        </w:rPr>
      </w:pPr>
      <w:r w:rsidRPr="009231B4">
        <w:rPr>
          <w:color w:val="auto"/>
        </w:rPr>
        <w:t xml:space="preserve"> </w:t>
      </w:r>
      <w:r w:rsidRPr="009231B4">
        <w:rPr>
          <w:color w:val="auto"/>
        </w:rPr>
        <w:tab/>
      </w:r>
      <w:r w:rsidRPr="009231B4">
        <w:rPr>
          <w:b/>
          <w:color w:val="auto"/>
          <w:sz w:val="24"/>
        </w:rPr>
        <w:t xml:space="preserve"> </w:t>
      </w:r>
      <w:r w:rsidRPr="009231B4">
        <w:rPr>
          <w:color w:val="auto"/>
        </w:rPr>
        <w:br w:type="page"/>
      </w:r>
    </w:p>
    <w:p w14:paraId="68A77CAC" w14:textId="77777777" w:rsidR="00D14D27" w:rsidRPr="009231B4" w:rsidRDefault="00D74919">
      <w:pPr>
        <w:pStyle w:val="Heading1"/>
        <w:ind w:left="10"/>
        <w:rPr>
          <w:color w:val="auto"/>
        </w:rPr>
      </w:pPr>
      <w:r w:rsidRPr="009231B4">
        <w:rPr>
          <w:color w:val="auto"/>
        </w:rPr>
        <w:lastRenderedPageBreak/>
        <w:t xml:space="preserve">Purpose of the policy </w:t>
      </w:r>
    </w:p>
    <w:p w14:paraId="7C66D0BC" w14:textId="5C16C636" w:rsidR="00D14D27" w:rsidRPr="009231B4" w:rsidRDefault="00D74919">
      <w:pPr>
        <w:spacing w:after="107" w:line="238" w:lineRule="auto"/>
        <w:ind w:left="10" w:right="14" w:hanging="10"/>
        <w:jc w:val="both"/>
        <w:rPr>
          <w:color w:val="auto"/>
        </w:rPr>
      </w:pPr>
      <w:r w:rsidRPr="009231B4">
        <w:rPr>
          <w:color w:val="auto"/>
        </w:rPr>
        <w:t xml:space="preserve">This policy details how </w:t>
      </w:r>
      <w:r w:rsidR="009231B4">
        <w:rPr>
          <w:color w:val="auto"/>
        </w:rPr>
        <w:t>West Lancashire Community High School</w:t>
      </w:r>
      <w:r w:rsidRPr="009231B4">
        <w:rPr>
          <w:color w:val="auto"/>
        </w:rPr>
        <w:t xml:space="preserve">, in relation to exams management and administration, ensures compliance with the regulations as set out by the Data Protection Act 2018 (DPA 2018) and UK General Data Protection Regulation (GDPR). </w:t>
      </w:r>
    </w:p>
    <w:p w14:paraId="0F62BEFA" w14:textId="77777777" w:rsidR="00D14D27" w:rsidRPr="009231B4" w:rsidRDefault="00D74919">
      <w:pPr>
        <w:ind w:right="2"/>
        <w:rPr>
          <w:color w:val="auto"/>
        </w:rPr>
      </w:pPr>
      <w:r w:rsidRPr="009231B4">
        <w:rPr>
          <w:color w:val="auto"/>
        </w:rPr>
        <w:t>The deliver</w:t>
      </w:r>
      <w:r w:rsidRPr="009231B4">
        <w:rPr>
          <w:color w:val="auto"/>
        </w:rPr>
        <w:t>y of examinations and assessments involve centres and awarding bodies processing a significant amount of personal data (</w:t>
      </w:r>
      <w:proofErr w:type="gramStart"/>
      <w:r w:rsidRPr="009231B4">
        <w:rPr>
          <w:color w:val="auto"/>
        </w:rPr>
        <w:t>i.e.</w:t>
      </w:r>
      <w:proofErr w:type="gramEnd"/>
      <w:r w:rsidRPr="009231B4">
        <w:rPr>
          <w:color w:val="auto"/>
        </w:rPr>
        <w:t xml:space="preserve"> information from which a living individual might be identified). It is important that both centres and awarding bodies comply with </w:t>
      </w:r>
      <w:r w:rsidRPr="009231B4">
        <w:rPr>
          <w:color w:val="auto"/>
        </w:rPr>
        <w:t xml:space="preserve">the requirements of the UK General Data Protection Regulation and the Data Protection Act 2018 or law relating to personal data in any jurisdiction in which the awarding body or centre are operating.  </w:t>
      </w:r>
    </w:p>
    <w:p w14:paraId="5A4527E7" w14:textId="77777777" w:rsidR="00D14D27" w:rsidRPr="009231B4" w:rsidRDefault="00D74919">
      <w:pPr>
        <w:ind w:right="2"/>
        <w:rPr>
          <w:color w:val="auto"/>
        </w:rPr>
      </w:pPr>
      <w:r w:rsidRPr="009231B4">
        <w:rPr>
          <w:color w:val="auto"/>
        </w:rPr>
        <w:t xml:space="preserve">In JCQ’s </w:t>
      </w:r>
      <w:hyperlink r:id="rId8">
        <w:r w:rsidRPr="009231B4">
          <w:rPr>
            <w:color w:val="auto"/>
          </w:rPr>
          <w:t>General Regulations for Approved Centres</w:t>
        </w:r>
      </w:hyperlink>
      <w:hyperlink r:id="rId9">
        <w:r w:rsidRPr="009231B4">
          <w:rPr>
            <w:color w:val="auto"/>
          </w:rPr>
          <w:t xml:space="preserve"> </w:t>
        </w:r>
      </w:hyperlink>
      <w:r w:rsidRPr="009231B4">
        <w:rPr>
          <w:color w:val="auto"/>
        </w:rPr>
        <w:t>(section 6) reference is made to ‘data protection legislation’. This is intended to refer to UK GDPR, the Da</w:t>
      </w:r>
      <w:r w:rsidRPr="009231B4">
        <w:rPr>
          <w:color w:val="auto"/>
        </w:rPr>
        <w:t xml:space="preserve">ta Protection Act 2018 and any statutory codes of practice issued by the Information Commissioner in relation to such legislation. </w:t>
      </w:r>
    </w:p>
    <w:p w14:paraId="2A18B3C4" w14:textId="77777777" w:rsidR="00D14D27" w:rsidRPr="009231B4" w:rsidRDefault="00D74919">
      <w:pPr>
        <w:ind w:right="2"/>
        <w:rPr>
          <w:color w:val="auto"/>
        </w:rPr>
      </w:pPr>
      <w:r w:rsidRPr="009231B4">
        <w:rPr>
          <w:color w:val="auto"/>
        </w:rPr>
        <w:t xml:space="preserve">It is the responsibility of the centre to inform candidates of the processing that the centre undertakes. For example, that </w:t>
      </w:r>
      <w:r w:rsidRPr="009231B4">
        <w:rPr>
          <w:color w:val="auto"/>
        </w:rPr>
        <w:t xml:space="preserve">the centre will provide relevant personal data, including name, date of birth and gender to the awarding bodies for the purpose of examining and awarding qualifications.  </w:t>
      </w:r>
    </w:p>
    <w:p w14:paraId="10B540CB" w14:textId="77777777" w:rsidR="00D14D27" w:rsidRPr="009231B4" w:rsidRDefault="00D74919">
      <w:pPr>
        <w:ind w:right="2"/>
        <w:rPr>
          <w:color w:val="auto"/>
        </w:rPr>
      </w:pPr>
      <w:r w:rsidRPr="009231B4">
        <w:rPr>
          <w:color w:val="auto"/>
        </w:rPr>
        <w:t>All exams office staff responsible for collecting and sharing candidates’ data are r</w:t>
      </w:r>
      <w:r w:rsidRPr="009231B4">
        <w:rPr>
          <w:color w:val="auto"/>
        </w:rPr>
        <w:t xml:space="preserve">equired to follow strict rules called ‘data protection principles’ ensuring the information is: </w:t>
      </w:r>
    </w:p>
    <w:p w14:paraId="14837661" w14:textId="77777777" w:rsidR="00D14D27" w:rsidRPr="009231B4" w:rsidRDefault="00D74919">
      <w:pPr>
        <w:numPr>
          <w:ilvl w:val="0"/>
          <w:numId w:val="1"/>
        </w:numPr>
        <w:spacing w:after="10"/>
        <w:ind w:right="2" w:hanging="360"/>
        <w:rPr>
          <w:color w:val="auto"/>
        </w:rPr>
      </w:pPr>
      <w:r w:rsidRPr="009231B4">
        <w:rPr>
          <w:color w:val="auto"/>
        </w:rPr>
        <w:t xml:space="preserve">used fairly and lawfully </w:t>
      </w:r>
    </w:p>
    <w:p w14:paraId="1261176C" w14:textId="77777777" w:rsidR="00D14D27" w:rsidRPr="009231B4" w:rsidRDefault="00D74919">
      <w:pPr>
        <w:numPr>
          <w:ilvl w:val="0"/>
          <w:numId w:val="1"/>
        </w:numPr>
        <w:spacing w:after="10"/>
        <w:ind w:right="2" w:hanging="360"/>
        <w:rPr>
          <w:color w:val="auto"/>
        </w:rPr>
      </w:pPr>
      <w:r w:rsidRPr="009231B4">
        <w:rPr>
          <w:color w:val="auto"/>
        </w:rPr>
        <w:t xml:space="preserve">used for limited, specifically stated purposes </w:t>
      </w:r>
    </w:p>
    <w:p w14:paraId="31CC35D8" w14:textId="77777777" w:rsidR="00D14D27" w:rsidRPr="009231B4" w:rsidRDefault="00D74919">
      <w:pPr>
        <w:numPr>
          <w:ilvl w:val="0"/>
          <w:numId w:val="1"/>
        </w:numPr>
        <w:spacing w:after="10"/>
        <w:ind w:right="2" w:hanging="360"/>
        <w:rPr>
          <w:color w:val="auto"/>
        </w:rPr>
      </w:pPr>
      <w:r w:rsidRPr="009231B4">
        <w:rPr>
          <w:color w:val="auto"/>
        </w:rPr>
        <w:t xml:space="preserve">used in a way that is adequate, relevant and not excessive </w:t>
      </w:r>
    </w:p>
    <w:p w14:paraId="023A6E5F" w14:textId="77777777" w:rsidR="00D14D27" w:rsidRPr="009231B4" w:rsidRDefault="00D74919">
      <w:pPr>
        <w:numPr>
          <w:ilvl w:val="0"/>
          <w:numId w:val="1"/>
        </w:numPr>
        <w:spacing w:after="10"/>
        <w:ind w:right="2" w:hanging="360"/>
        <w:rPr>
          <w:color w:val="auto"/>
        </w:rPr>
      </w:pPr>
      <w:r w:rsidRPr="009231B4">
        <w:rPr>
          <w:color w:val="auto"/>
        </w:rPr>
        <w:t xml:space="preserve">accurate </w:t>
      </w:r>
    </w:p>
    <w:p w14:paraId="16A8F041" w14:textId="77777777" w:rsidR="00D14D27" w:rsidRPr="009231B4" w:rsidRDefault="00D74919">
      <w:pPr>
        <w:numPr>
          <w:ilvl w:val="0"/>
          <w:numId w:val="1"/>
        </w:numPr>
        <w:spacing w:after="10"/>
        <w:ind w:right="2" w:hanging="360"/>
        <w:rPr>
          <w:color w:val="auto"/>
        </w:rPr>
      </w:pPr>
      <w:r w:rsidRPr="009231B4">
        <w:rPr>
          <w:color w:val="auto"/>
        </w:rPr>
        <w:t>kept for no lon</w:t>
      </w:r>
      <w:r w:rsidRPr="009231B4">
        <w:rPr>
          <w:color w:val="auto"/>
        </w:rPr>
        <w:t xml:space="preserve">ger than is absolutely necessary </w:t>
      </w:r>
    </w:p>
    <w:p w14:paraId="6A15BADD" w14:textId="77777777" w:rsidR="00D14D27" w:rsidRPr="009231B4" w:rsidRDefault="00D74919">
      <w:pPr>
        <w:numPr>
          <w:ilvl w:val="0"/>
          <w:numId w:val="1"/>
        </w:numPr>
        <w:spacing w:after="10"/>
        <w:ind w:right="2" w:hanging="360"/>
        <w:rPr>
          <w:color w:val="auto"/>
        </w:rPr>
      </w:pPr>
      <w:r w:rsidRPr="009231B4">
        <w:rPr>
          <w:color w:val="auto"/>
        </w:rPr>
        <w:t xml:space="preserve">handled according to people’s data protection rights </w:t>
      </w:r>
    </w:p>
    <w:p w14:paraId="5EAEAB8A" w14:textId="77777777" w:rsidR="00D14D27" w:rsidRPr="009231B4" w:rsidRDefault="00D74919">
      <w:pPr>
        <w:numPr>
          <w:ilvl w:val="0"/>
          <w:numId w:val="1"/>
        </w:numPr>
        <w:spacing w:after="82"/>
        <w:ind w:right="2" w:hanging="360"/>
        <w:rPr>
          <w:color w:val="auto"/>
        </w:rPr>
      </w:pPr>
      <w:r w:rsidRPr="009231B4">
        <w:rPr>
          <w:color w:val="auto"/>
        </w:rPr>
        <w:t xml:space="preserve">kept safe and secure </w:t>
      </w:r>
    </w:p>
    <w:p w14:paraId="6DF7C59D" w14:textId="77777777" w:rsidR="00D14D27" w:rsidRPr="009231B4" w:rsidRDefault="00D74919">
      <w:pPr>
        <w:spacing w:after="246"/>
        <w:ind w:left="16" w:right="2"/>
        <w:rPr>
          <w:color w:val="auto"/>
        </w:rPr>
      </w:pPr>
      <w:r w:rsidRPr="009231B4">
        <w:rPr>
          <w:color w:val="auto"/>
        </w:rPr>
        <w:t xml:space="preserve">To ensure that the centre meets the requirements of the DPA 2018 and UK GDPR, all candidates’ exam information – even that which is not classified as personal or sensitive – is covered under this policy. </w:t>
      </w:r>
    </w:p>
    <w:p w14:paraId="55651B3C" w14:textId="77777777" w:rsidR="00D14D27" w:rsidRPr="009231B4" w:rsidRDefault="00D74919">
      <w:pPr>
        <w:pStyle w:val="Heading1"/>
        <w:ind w:left="10"/>
        <w:rPr>
          <w:color w:val="auto"/>
        </w:rPr>
      </w:pPr>
      <w:r w:rsidRPr="009231B4">
        <w:rPr>
          <w:color w:val="auto"/>
        </w:rPr>
        <w:t xml:space="preserve">Section 1 – Exams-related information </w:t>
      </w:r>
    </w:p>
    <w:p w14:paraId="22D2A8BC" w14:textId="77777777" w:rsidR="00D14D27" w:rsidRPr="009231B4" w:rsidRDefault="00D74919">
      <w:pPr>
        <w:ind w:right="2"/>
        <w:rPr>
          <w:color w:val="auto"/>
        </w:rPr>
      </w:pPr>
      <w:r w:rsidRPr="009231B4">
        <w:rPr>
          <w:color w:val="auto"/>
        </w:rPr>
        <w:t>There is a r</w:t>
      </w:r>
      <w:r w:rsidRPr="009231B4">
        <w:rPr>
          <w:color w:val="auto"/>
        </w:rPr>
        <w:t xml:space="preserve">equirement for the exams office(r) to hold exams-related information on candidates taking external examinations. For further details on the type of information held please refer to Section 5 below.   </w:t>
      </w:r>
    </w:p>
    <w:p w14:paraId="06A00945" w14:textId="77777777" w:rsidR="00D14D27" w:rsidRPr="009231B4" w:rsidRDefault="00D74919">
      <w:pPr>
        <w:ind w:right="2"/>
        <w:rPr>
          <w:color w:val="auto"/>
        </w:rPr>
      </w:pPr>
      <w:r w:rsidRPr="009231B4">
        <w:rPr>
          <w:color w:val="auto"/>
        </w:rPr>
        <w:t>Candidates’ exams-related data may be shared with the f</w:t>
      </w:r>
      <w:r w:rsidRPr="009231B4">
        <w:rPr>
          <w:color w:val="auto"/>
        </w:rPr>
        <w:t xml:space="preserve">ollowing organisations: </w:t>
      </w:r>
    </w:p>
    <w:p w14:paraId="44904ECB" w14:textId="77777777" w:rsidR="00D14D27" w:rsidRPr="009231B4" w:rsidRDefault="00D74919">
      <w:pPr>
        <w:numPr>
          <w:ilvl w:val="0"/>
          <w:numId w:val="2"/>
        </w:numPr>
        <w:spacing w:after="10"/>
        <w:ind w:right="2" w:hanging="360"/>
        <w:rPr>
          <w:color w:val="auto"/>
        </w:rPr>
      </w:pPr>
      <w:r w:rsidRPr="009231B4">
        <w:rPr>
          <w:color w:val="auto"/>
        </w:rPr>
        <w:t xml:space="preserve">Awarding bodies </w:t>
      </w:r>
    </w:p>
    <w:p w14:paraId="6F2B9A75" w14:textId="77777777" w:rsidR="00D14D27" w:rsidRPr="009231B4" w:rsidRDefault="00D74919">
      <w:pPr>
        <w:numPr>
          <w:ilvl w:val="0"/>
          <w:numId w:val="2"/>
        </w:numPr>
        <w:spacing w:after="10"/>
        <w:ind w:right="2" w:hanging="360"/>
        <w:rPr>
          <w:color w:val="auto"/>
        </w:rPr>
      </w:pPr>
      <w:r w:rsidRPr="009231B4">
        <w:rPr>
          <w:color w:val="auto"/>
        </w:rPr>
        <w:t>Joint Council for Qualifications (JCQ)</w:t>
      </w:r>
      <w:r w:rsidRPr="009231B4">
        <w:rPr>
          <w:rFonts w:ascii="Verdana" w:eastAsia="Verdana" w:hAnsi="Verdana" w:cs="Verdana"/>
          <w:color w:val="auto"/>
          <w:sz w:val="20"/>
        </w:rPr>
        <w:t xml:space="preserve"> </w:t>
      </w:r>
    </w:p>
    <w:p w14:paraId="76D17D1A" w14:textId="77777777" w:rsidR="00D14D27" w:rsidRPr="009231B4" w:rsidRDefault="00D74919">
      <w:pPr>
        <w:numPr>
          <w:ilvl w:val="0"/>
          <w:numId w:val="2"/>
        </w:numPr>
        <w:spacing w:after="0" w:line="348" w:lineRule="auto"/>
        <w:ind w:right="2" w:hanging="360"/>
        <w:rPr>
          <w:color w:val="auto"/>
        </w:rPr>
      </w:pPr>
      <w:r w:rsidRPr="009231B4">
        <w:rPr>
          <w:color w:val="auto"/>
        </w:rPr>
        <w:t xml:space="preserve">Department for Education; Local Authority; Multi Academy Trust This data may be shared via one or more of the following methods: </w:t>
      </w:r>
    </w:p>
    <w:p w14:paraId="5DB93F5C" w14:textId="77777777" w:rsidR="00D14D27" w:rsidRPr="009231B4" w:rsidRDefault="00D74919">
      <w:pPr>
        <w:numPr>
          <w:ilvl w:val="0"/>
          <w:numId w:val="2"/>
        </w:numPr>
        <w:spacing w:after="10"/>
        <w:ind w:right="2" w:hanging="360"/>
        <w:rPr>
          <w:color w:val="auto"/>
        </w:rPr>
      </w:pPr>
      <w:r w:rsidRPr="009231B4">
        <w:rPr>
          <w:color w:val="auto"/>
        </w:rPr>
        <w:t xml:space="preserve">hard copy </w:t>
      </w:r>
    </w:p>
    <w:p w14:paraId="26C0A270" w14:textId="77777777" w:rsidR="00D14D27" w:rsidRPr="009231B4" w:rsidRDefault="00D74919">
      <w:pPr>
        <w:numPr>
          <w:ilvl w:val="0"/>
          <w:numId w:val="2"/>
        </w:numPr>
        <w:spacing w:after="10"/>
        <w:ind w:right="2" w:hanging="360"/>
        <w:rPr>
          <w:color w:val="auto"/>
        </w:rPr>
      </w:pPr>
      <w:r w:rsidRPr="009231B4">
        <w:rPr>
          <w:color w:val="auto"/>
        </w:rPr>
        <w:t xml:space="preserve">email </w:t>
      </w:r>
    </w:p>
    <w:p w14:paraId="47245963" w14:textId="77777777" w:rsidR="00D14D27" w:rsidRPr="009231B4" w:rsidRDefault="00D74919">
      <w:pPr>
        <w:numPr>
          <w:ilvl w:val="0"/>
          <w:numId w:val="2"/>
        </w:numPr>
        <w:spacing w:after="0"/>
        <w:ind w:right="2" w:hanging="360"/>
        <w:rPr>
          <w:color w:val="auto"/>
        </w:rPr>
      </w:pPr>
      <w:r w:rsidRPr="009231B4">
        <w:rPr>
          <w:color w:val="auto"/>
        </w:rPr>
        <w:t xml:space="preserve">secure extranet site(s) – </w:t>
      </w:r>
      <w:r w:rsidRPr="009231B4">
        <w:rPr>
          <w:color w:val="auto"/>
        </w:rPr>
        <w:t>AQA Centre Services; Cambridge OCR Interchange; Pearson Edexcel Online; WJEC Portal, SIMS sending/receiving information via electronic data interchange (EDI) using A2C (</w:t>
      </w:r>
      <w:hyperlink r:id="rId10">
        <w:r w:rsidRPr="009231B4">
          <w:rPr>
            <w:color w:val="auto"/>
          </w:rPr>
          <w:t>https://www.jcq.org.uk/about-a2c)</w:t>
        </w:r>
      </w:hyperlink>
      <w:r w:rsidRPr="009231B4">
        <w:rPr>
          <w:color w:val="auto"/>
        </w:rPr>
        <w:t xml:space="preserve"> t</w:t>
      </w:r>
      <w:r w:rsidRPr="009231B4">
        <w:rPr>
          <w:color w:val="auto"/>
        </w:rPr>
        <w:t xml:space="preserve">o/from awarding body processing systems </w:t>
      </w:r>
    </w:p>
    <w:p w14:paraId="5885F55E" w14:textId="77777777" w:rsidR="00D14D27" w:rsidRPr="009231B4" w:rsidRDefault="00D74919">
      <w:pPr>
        <w:numPr>
          <w:ilvl w:val="0"/>
          <w:numId w:val="2"/>
        </w:numPr>
        <w:spacing w:after="0"/>
        <w:ind w:right="2" w:hanging="360"/>
        <w:rPr>
          <w:color w:val="auto"/>
        </w:rPr>
      </w:pPr>
      <w:r w:rsidRPr="009231B4">
        <w:rPr>
          <w:color w:val="auto"/>
        </w:rPr>
        <w:t>This data may relate to exam entries, access arrangements, the conduct of exams and nonexamination assessments including controlled assessments and coursework, special consideration requests and exam results/post-re</w:t>
      </w:r>
      <w:r w:rsidRPr="009231B4">
        <w:rPr>
          <w:color w:val="auto"/>
        </w:rPr>
        <w:t xml:space="preserve">sults/certificate information.  </w:t>
      </w:r>
    </w:p>
    <w:p w14:paraId="2622FF27" w14:textId="77777777" w:rsidR="00D14D27" w:rsidRPr="009231B4" w:rsidRDefault="00D74919">
      <w:pPr>
        <w:spacing w:after="210" w:line="259" w:lineRule="auto"/>
        <w:ind w:left="375" w:firstLine="0"/>
        <w:rPr>
          <w:color w:val="auto"/>
        </w:rPr>
      </w:pPr>
      <w:r w:rsidRPr="009231B4">
        <w:rPr>
          <w:rFonts w:ascii="Segoe UI Symbol" w:eastAsia="Segoe UI Symbol" w:hAnsi="Segoe UI Symbol" w:cs="Segoe UI Symbol"/>
          <w:color w:val="auto"/>
        </w:rPr>
        <w:t>•</w:t>
      </w:r>
      <w:r w:rsidRPr="009231B4">
        <w:rPr>
          <w:rFonts w:ascii="Arial" w:eastAsia="Arial" w:hAnsi="Arial" w:cs="Arial"/>
          <w:color w:val="auto"/>
        </w:rPr>
        <w:t xml:space="preserve"> </w:t>
      </w:r>
      <w:r w:rsidRPr="009231B4">
        <w:rPr>
          <w:color w:val="auto"/>
        </w:rPr>
        <w:t xml:space="preserve"> </w:t>
      </w:r>
    </w:p>
    <w:p w14:paraId="27A33324" w14:textId="77777777" w:rsidR="00D14D27" w:rsidRPr="009231B4" w:rsidRDefault="00D74919">
      <w:pPr>
        <w:pStyle w:val="Heading1"/>
        <w:ind w:left="10"/>
        <w:rPr>
          <w:color w:val="auto"/>
        </w:rPr>
      </w:pPr>
      <w:r w:rsidRPr="009231B4">
        <w:rPr>
          <w:color w:val="auto"/>
        </w:rPr>
        <w:lastRenderedPageBreak/>
        <w:t xml:space="preserve">Section 2 – Informing candidates of the information held </w:t>
      </w:r>
    </w:p>
    <w:p w14:paraId="3AEDB9DB" w14:textId="65671EFC" w:rsidR="00D14D27" w:rsidRPr="009231B4" w:rsidRDefault="009231B4">
      <w:pPr>
        <w:ind w:right="2"/>
        <w:rPr>
          <w:color w:val="auto"/>
        </w:rPr>
      </w:pPr>
      <w:r>
        <w:rPr>
          <w:color w:val="auto"/>
        </w:rPr>
        <w:t>West Lancashire Community High School</w:t>
      </w:r>
      <w:r w:rsidR="00D74919" w:rsidRPr="009231B4">
        <w:rPr>
          <w:color w:val="auto"/>
        </w:rPr>
        <w:t xml:space="preserve"> ensures that candidates are fully aware of the information and data held.  This is located in the privacy notices on the school website.  The school also has a school data protection policy.   </w:t>
      </w:r>
    </w:p>
    <w:p w14:paraId="4CFFCEDD" w14:textId="77777777" w:rsidR="00D14D27" w:rsidRPr="009231B4" w:rsidRDefault="00D74919">
      <w:pPr>
        <w:ind w:right="2"/>
        <w:rPr>
          <w:color w:val="auto"/>
        </w:rPr>
      </w:pPr>
      <w:r w:rsidRPr="009231B4">
        <w:rPr>
          <w:color w:val="auto"/>
        </w:rPr>
        <w:t>Materials which are submitted by candid</w:t>
      </w:r>
      <w:r w:rsidRPr="009231B4">
        <w:rPr>
          <w:color w:val="auto"/>
        </w:rPr>
        <w:t>ates for assessment may include any form of written work, audio and visual materials, computer programs and data (“Student Materials”). Candidates will be informed by departments and can be directed towards the awarding body’s privacy notice if they requir</w:t>
      </w:r>
      <w:r w:rsidRPr="009231B4">
        <w:rPr>
          <w:color w:val="auto"/>
        </w:rPr>
        <w:t xml:space="preserve">e further information about how their Student Materials may be used by the awarding body.  </w:t>
      </w:r>
    </w:p>
    <w:p w14:paraId="0CAFD8FE" w14:textId="77777777" w:rsidR="00D14D27" w:rsidRPr="009231B4" w:rsidRDefault="00D74919">
      <w:pPr>
        <w:spacing w:after="0"/>
        <w:ind w:right="2"/>
        <w:rPr>
          <w:color w:val="auto"/>
        </w:rPr>
      </w:pPr>
      <w:r w:rsidRPr="009231B4">
        <w:rPr>
          <w:color w:val="auto"/>
        </w:rPr>
        <w:t xml:space="preserve">Candidates eligible for access arrangements/reasonable adjustments which require awarding body will be informed that an application for access arrangements will be </w:t>
      </w:r>
      <w:r w:rsidRPr="009231B4">
        <w:rPr>
          <w:color w:val="auto"/>
        </w:rPr>
        <w:t xml:space="preserve">processed using </w:t>
      </w:r>
      <w:r w:rsidRPr="009231B4">
        <w:rPr>
          <w:color w:val="auto"/>
          <w:sz w:val="23"/>
        </w:rPr>
        <w:t xml:space="preserve">Access arrangements </w:t>
      </w:r>
    </w:p>
    <w:p w14:paraId="5124408B" w14:textId="77777777" w:rsidR="00D14D27" w:rsidRPr="009231B4" w:rsidRDefault="00D74919">
      <w:pPr>
        <w:ind w:left="0" w:right="2"/>
        <w:rPr>
          <w:color w:val="auto"/>
        </w:rPr>
      </w:pPr>
      <w:r w:rsidRPr="009231B4">
        <w:rPr>
          <w:color w:val="auto"/>
          <w:sz w:val="23"/>
        </w:rPr>
        <w:t>online</w:t>
      </w:r>
      <w:r w:rsidRPr="009231B4">
        <w:rPr>
          <w:color w:val="auto"/>
        </w:rPr>
        <w:t xml:space="preserve">, complying with the UK GDPR and the Data Protection Act 2018.  </w:t>
      </w:r>
    </w:p>
    <w:p w14:paraId="76CCFE24" w14:textId="77777777" w:rsidR="00D14D27" w:rsidRPr="009231B4" w:rsidRDefault="00D74919">
      <w:pPr>
        <w:ind w:left="0" w:right="2"/>
        <w:rPr>
          <w:color w:val="auto"/>
        </w:rPr>
      </w:pPr>
      <w:r w:rsidRPr="009231B4">
        <w:rPr>
          <w:color w:val="auto"/>
        </w:rPr>
        <w:t>Candidates involved in suspected or alleged malpractice will be informed that their personal data will be provided to the awarding body (or bodies) whose examinations/assessments are involved, and that personal data about them may also be shared with other</w:t>
      </w:r>
      <w:r w:rsidRPr="009231B4">
        <w:rPr>
          <w:color w:val="auto"/>
        </w:rPr>
        <w:t xml:space="preserve"> awarding bodies, the qualifications regulator or professional bodies, in accordance with the JCQ document </w:t>
      </w:r>
      <w:r w:rsidRPr="009231B4">
        <w:rPr>
          <w:color w:val="auto"/>
          <w:sz w:val="23"/>
        </w:rPr>
        <w:t>Suspected Malpractice – Policies and Procedures</w:t>
      </w:r>
      <w:r w:rsidRPr="009231B4">
        <w:rPr>
          <w:color w:val="auto"/>
        </w:rPr>
        <w:t xml:space="preserve">. </w:t>
      </w:r>
    </w:p>
    <w:p w14:paraId="313EAFA1" w14:textId="77777777" w:rsidR="00D14D27" w:rsidRPr="009231B4" w:rsidRDefault="00D74919">
      <w:pPr>
        <w:ind w:right="2"/>
        <w:rPr>
          <w:color w:val="auto"/>
        </w:rPr>
      </w:pPr>
      <w:r w:rsidRPr="009231B4">
        <w:rPr>
          <w:color w:val="auto"/>
        </w:rPr>
        <w:t xml:space="preserve">Candidates will be informed: </w:t>
      </w:r>
    </w:p>
    <w:p w14:paraId="4CE47367" w14:textId="77777777" w:rsidR="00D14D27" w:rsidRPr="009231B4" w:rsidRDefault="00D74919">
      <w:pPr>
        <w:numPr>
          <w:ilvl w:val="0"/>
          <w:numId w:val="3"/>
        </w:numPr>
        <w:spacing w:after="0"/>
        <w:ind w:right="2" w:hanging="360"/>
        <w:rPr>
          <w:color w:val="auto"/>
        </w:rPr>
      </w:pPr>
      <w:r w:rsidRPr="009231B4">
        <w:rPr>
          <w:color w:val="auto"/>
        </w:rPr>
        <w:t>that awarding bodies may be required to provide a candidate’s persona</w:t>
      </w:r>
      <w:r w:rsidRPr="009231B4">
        <w:rPr>
          <w:color w:val="auto"/>
        </w:rPr>
        <w:t xml:space="preserve">l data to educational agencies, such as DfE, Welsh Government, Department of Education (Northern Ireland), ESFA, regulators, HESA, UCAS, Local Authorities and the Learning Records Service (LRS) </w:t>
      </w:r>
    </w:p>
    <w:p w14:paraId="732C0DEE" w14:textId="77777777" w:rsidR="00D14D27" w:rsidRPr="009231B4" w:rsidRDefault="00D74919">
      <w:pPr>
        <w:numPr>
          <w:ilvl w:val="0"/>
          <w:numId w:val="3"/>
        </w:numPr>
        <w:spacing w:after="0"/>
        <w:ind w:right="2" w:hanging="360"/>
        <w:rPr>
          <w:color w:val="auto"/>
        </w:rPr>
      </w:pPr>
      <w:r w:rsidRPr="009231B4">
        <w:rPr>
          <w:color w:val="auto"/>
        </w:rPr>
        <w:t xml:space="preserve">that their personal data may be provided to a central record </w:t>
      </w:r>
      <w:r w:rsidRPr="009231B4">
        <w:rPr>
          <w:color w:val="auto"/>
        </w:rPr>
        <w:t xml:space="preserve">of qualifications approved by the awarding bodies for statistical and policy development purposes </w:t>
      </w:r>
    </w:p>
    <w:p w14:paraId="7C1F69A7" w14:textId="77777777" w:rsidR="00D14D27" w:rsidRPr="009231B4" w:rsidRDefault="00D74919">
      <w:pPr>
        <w:numPr>
          <w:ilvl w:val="0"/>
          <w:numId w:val="3"/>
        </w:numPr>
        <w:ind w:right="2" w:hanging="360"/>
        <w:rPr>
          <w:color w:val="auto"/>
        </w:rPr>
      </w:pPr>
      <w:r w:rsidRPr="009231B4">
        <w:rPr>
          <w:color w:val="auto"/>
        </w:rPr>
        <w:t xml:space="preserve">of the processing that the centre undertakes, for example, that the centre will provide relevant personal data, including name, date of birth and gender, to </w:t>
      </w:r>
      <w:r w:rsidRPr="009231B4">
        <w:rPr>
          <w:color w:val="auto"/>
        </w:rPr>
        <w:t xml:space="preserve">the awarding bodies for the purpose of examining and awarding qualifications </w:t>
      </w:r>
    </w:p>
    <w:p w14:paraId="5C253828" w14:textId="77777777" w:rsidR="00D14D27" w:rsidRPr="009231B4" w:rsidRDefault="00D74919">
      <w:pPr>
        <w:spacing w:after="249"/>
        <w:ind w:right="2"/>
        <w:rPr>
          <w:color w:val="auto"/>
        </w:rPr>
      </w:pPr>
      <w:r w:rsidRPr="009231B4">
        <w:rPr>
          <w:color w:val="auto"/>
        </w:rPr>
        <w:t xml:space="preserve">Candidates may obtain access to their personal data, such as examination results by applying to the appropriate awarding body’s data protection officer. </w:t>
      </w:r>
    </w:p>
    <w:p w14:paraId="1AE8468D" w14:textId="77777777" w:rsidR="00D14D27" w:rsidRPr="009231B4" w:rsidRDefault="00D74919">
      <w:pPr>
        <w:pStyle w:val="Heading1"/>
        <w:ind w:left="10"/>
        <w:rPr>
          <w:color w:val="auto"/>
        </w:rPr>
      </w:pPr>
      <w:r w:rsidRPr="009231B4">
        <w:rPr>
          <w:color w:val="auto"/>
        </w:rPr>
        <w:t>Section 3 – Hardware and</w:t>
      </w:r>
      <w:r w:rsidRPr="009231B4">
        <w:rPr>
          <w:color w:val="auto"/>
        </w:rPr>
        <w:t xml:space="preserve"> software </w:t>
      </w:r>
    </w:p>
    <w:p w14:paraId="5BE757E7" w14:textId="77777777" w:rsidR="00D14D27" w:rsidRPr="009231B4" w:rsidRDefault="00D74919">
      <w:pPr>
        <w:ind w:right="2"/>
        <w:rPr>
          <w:color w:val="auto"/>
        </w:rPr>
      </w:pPr>
      <w:r w:rsidRPr="009231B4">
        <w:rPr>
          <w:color w:val="auto"/>
        </w:rPr>
        <w:t xml:space="preserve">See separate IT and GDPR school policies. Section 4 – Dealing with data breaches </w:t>
      </w:r>
    </w:p>
    <w:p w14:paraId="55241A19" w14:textId="77777777" w:rsidR="00D14D27" w:rsidRPr="009231B4" w:rsidRDefault="00D74919">
      <w:pPr>
        <w:ind w:right="2"/>
        <w:rPr>
          <w:color w:val="auto"/>
        </w:rPr>
      </w:pPr>
      <w:r w:rsidRPr="009231B4">
        <w:rPr>
          <w:color w:val="auto"/>
        </w:rPr>
        <w:t xml:space="preserve">Although data is handled in line with DPA/GDPR regulations, a data breach may occur for any of the following reasons: </w:t>
      </w:r>
    </w:p>
    <w:p w14:paraId="650A2179" w14:textId="77777777" w:rsidR="00D14D27" w:rsidRPr="009231B4" w:rsidRDefault="00D74919">
      <w:pPr>
        <w:numPr>
          <w:ilvl w:val="0"/>
          <w:numId w:val="4"/>
        </w:numPr>
        <w:spacing w:after="10"/>
        <w:ind w:right="2" w:hanging="360"/>
        <w:rPr>
          <w:color w:val="auto"/>
        </w:rPr>
      </w:pPr>
      <w:r w:rsidRPr="009231B4">
        <w:rPr>
          <w:color w:val="auto"/>
        </w:rPr>
        <w:t xml:space="preserve">loss or theft of data or equipment on which </w:t>
      </w:r>
      <w:r w:rsidRPr="009231B4">
        <w:rPr>
          <w:color w:val="auto"/>
        </w:rPr>
        <w:t xml:space="preserve">data is stored  </w:t>
      </w:r>
    </w:p>
    <w:p w14:paraId="50B30A7A" w14:textId="77777777" w:rsidR="00D14D27" w:rsidRPr="009231B4" w:rsidRDefault="00D74919">
      <w:pPr>
        <w:numPr>
          <w:ilvl w:val="0"/>
          <w:numId w:val="4"/>
        </w:numPr>
        <w:spacing w:after="10"/>
        <w:ind w:right="2" w:hanging="360"/>
        <w:rPr>
          <w:color w:val="auto"/>
        </w:rPr>
      </w:pPr>
      <w:r w:rsidRPr="009231B4">
        <w:rPr>
          <w:color w:val="auto"/>
        </w:rPr>
        <w:t xml:space="preserve">inappropriate access controls allowing unauthorised use  </w:t>
      </w:r>
    </w:p>
    <w:p w14:paraId="7FA5DD42" w14:textId="77777777" w:rsidR="00D14D27" w:rsidRPr="009231B4" w:rsidRDefault="00D74919">
      <w:pPr>
        <w:numPr>
          <w:ilvl w:val="0"/>
          <w:numId w:val="4"/>
        </w:numPr>
        <w:spacing w:after="10"/>
        <w:ind w:right="2" w:hanging="360"/>
        <w:rPr>
          <w:color w:val="auto"/>
        </w:rPr>
      </w:pPr>
      <w:r w:rsidRPr="009231B4">
        <w:rPr>
          <w:color w:val="auto"/>
        </w:rPr>
        <w:t xml:space="preserve">equipment failure  </w:t>
      </w:r>
    </w:p>
    <w:p w14:paraId="19261F3F" w14:textId="77777777" w:rsidR="00D14D27" w:rsidRPr="009231B4" w:rsidRDefault="00D74919">
      <w:pPr>
        <w:numPr>
          <w:ilvl w:val="0"/>
          <w:numId w:val="4"/>
        </w:numPr>
        <w:spacing w:after="10"/>
        <w:ind w:right="2" w:hanging="360"/>
        <w:rPr>
          <w:color w:val="auto"/>
        </w:rPr>
      </w:pPr>
      <w:r w:rsidRPr="009231B4">
        <w:rPr>
          <w:color w:val="auto"/>
        </w:rPr>
        <w:t xml:space="preserve">human error  </w:t>
      </w:r>
    </w:p>
    <w:p w14:paraId="66896783" w14:textId="77777777" w:rsidR="00D14D27" w:rsidRPr="009231B4" w:rsidRDefault="00D74919">
      <w:pPr>
        <w:numPr>
          <w:ilvl w:val="0"/>
          <w:numId w:val="4"/>
        </w:numPr>
        <w:spacing w:after="10"/>
        <w:ind w:right="2" w:hanging="360"/>
        <w:rPr>
          <w:color w:val="auto"/>
        </w:rPr>
      </w:pPr>
      <w:r w:rsidRPr="009231B4">
        <w:rPr>
          <w:color w:val="auto"/>
        </w:rPr>
        <w:t xml:space="preserve">unforeseen circumstances such as a fire or flood  </w:t>
      </w:r>
    </w:p>
    <w:p w14:paraId="4054EC33" w14:textId="77777777" w:rsidR="00D14D27" w:rsidRPr="009231B4" w:rsidRDefault="00D74919">
      <w:pPr>
        <w:numPr>
          <w:ilvl w:val="0"/>
          <w:numId w:val="4"/>
        </w:numPr>
        <w:spacing w:after="10"/>
        <w:ind w:right="2" w:hanging="360"/>
        <w:rPr>
          <w:color w:val="auto"/>
        </w:rPr>
      </w:pPr>
      <w:r w:rsidRPr="009231B4">
        <w:rPr>
          <w:color w:val="auto"/>
        </w:rPr>
        <w:t xml:space="preserve">hacking attack  </w:t>
      </w:r>
    </w:p>
    <w:p w14:paraId="14F631AD" w14:textId="77777777" w:rsidR="00D14D27" w:rsidRPr="009231B4" w:rsidRDefault="00D74919">
      <w:pPr>
        <w:numPr>
          <w:ilvl w:val="0"/>
          <w:numId w:val="4"/>
        </w:numPr>
        <w:spacing w:after="10"/>
        <w:ind w:right="2" w:hanging="360"/>
        <w:rPr>
          <w:color w:val="auto"/>
        </w:rPr>
      </w:pPr>
      <w:r w:rsidRPr="009231B4">
        <w:rPr>
          <w:color w:val="auto"/>
        </w:rPr>
        <w:t>‘blagging’ offences where information is obtained by deceiving the organisation</w:t>
      </w:r>
      <w:r w:rsidRPr="009231B4">
        <w:rPr>
          <w:color w:val="auto"/>
        </w:rPr>
        <w:t xml:space="preserve"> who holds it </w:t>
      </w:r>
    </w:p>
    <w:p w14:paraId="43DC88D2" w14:textId="77777777" w:rsidR="00D14D27" w:rsidRPr="009231B4" w:rsidRDefault="00D74919">
      <w:pPr>
        <w:numPr>
          <w:ilvl w:val="0"/>
          <w:numId w:val="4"/>
        </w:numPr>
        <w:spacing w:after="82"/>
        <w:ind w:right="2" w:hanging="360"/>
        <w:rPr>
          <w:color w:val="auto"/>
        </w:rPr>
      </w:pPr>
      <w:r w:rsidRPr="009231B4">
        <w:rPr>
          <w:color w:val="auto"/>
        </w:rPr>
        <w:t xml:space="preserve">cyber-attacks involving ransomware infections </w:t>
      </w:r>
    </w:p>
    <w:p w14:paraId="7E79CB5C" w14:textId="401C9645" w:rsidR="00D14D27" w:rsidRDefault="00D74919">
      <w:pPr>
        <w:ind w:left="16" w:right="2"/>
        <w:rPr>
          <w:color w:val="auto"/>
        </w:rPr>
      </w:pPr>
      <w:r w:rsidRPr="009231B4">
        <w:rPr>
          <w:color w:val="auto"/>
        </w:rPr>
        <w:t xml:space="preserve">If a data protection breach is identified, the following steps will be taken: </w:t>
      </w:r>
    </w:p>
    <w:p w14:paraId="23BD9E0C" w14:textId="3C65090D" w:rsidR="009231B4" w:rsidRDefault="009231B4">
      <w:pPr>
        <w:ind w:left="16" w:right="2"/>
        <w:rPr>
          <w:color w:val="auto"/>
        </w:rPr>
      </w:pPr>
    </w:p>
    <w:p w14:paraId="0B1917A2" w14:textId="5CAC6882" w:rsidR="009231B4" w:rsidRDefault="009231B4">
      <w:pPr>
        <w:ind w:left="16" w:right="2"/>
        <w:rPr>
          <w:color w:val="auto"/>
        </w:rPr>
      </w:pPr>
    </w:p>
    <w:p w14:paraId="5D322814" w14:textId="77777777" w:rsidR="009231B4" w:rsidRPr="009231B4" w:rsidRDefault="009231B4">
      <w:pPr>
        <w:ind w:left="16" w:right="2"/>
        <w:rPr>
          <w:color w:val="auto"/>
        </w:rPr>
      </w:pPr>
    </w:p>
    <w:p w14:paraId="217B77EB" w14:textId="77777777" w:rsidR="00D14D27" w:rsidRPr="009231B4" w:rsidRDefault="00D74919">
      <w:pPr>
        <w:pStyle w:val="Heading2"/>
        <w:ind w:left="369"/>
        <w:rPr>
          <w:color w:val="auto"/>
        </w:rPr>
      </w:pPr>
      <w:r w:rsidRPr="009231B4">
        <w:rPr>
          <w:color w:val="auto"/>
        </w:rPr>
        <w:lastRenderedPageBreak/>
        <w:t>1.</w:t>
      </w:r>
      <w:r w:rsidRPr="009231B4">
        <w:rPr>
          <w:rFonts w:ascii="Arial" w:eastAsia="Arial" w:hAnsi="Arial" w:cs="Arial"/>
          <w:color w:val="auto"/>
        </w:rPr>
        <w:t xml:space="preserve"> </w:t>
      </w:r>
      <w:r w:rsidRPr="009231B4">
        <w:rPr>
          <w:color w:val="auto"/>
        </w:rPr>
        <w:t xml:space="preserve">Containment and recovery  </w:t>
      </w:r>
    </w:p>
    <w:p w14:paraId="18B430A4" w14:textId="77777777" w:rsidR="00D14D27" w:rsidRPr="009231B4" w:rsidRDefault="00D74919">
      <w:pPr>
        <w:ind w:left="16" w:right="2"/>
        <w:rPr>
          <w:color w:val="auto"/>
        </w:rPr>
      </w:pPr>
      <w:r w:rsidRPr="009231B4">
        <w:rPr>
          <w:color w:val="auto"/>
        </w:rPr>
        <w:t xml:space="preserve">The school Data Protection officer will lead on investigating the breach.   </w:t>
      </w:r>
    </w:p>
    <w:p w14:paraId="53BAB4E1" w14:textId="77777777" w:rsidR="00D14D27" w:rsidRPr="009231B4" w:rsidRDefault="00D74919">
      <w:pPr>
        <w:ind w:left="16" w:right="2"/>
        <w:rPr>
          <w:color w:val="auto"/>
        </w:rPr>
      </w:pPr>
      <w:r w:rsidRPr="009231B4">
        <w:rPr>
          <w:color w:val="auto"/>
        </w:rPr>
        <w:t xml:space="preserve">It will be established: </w:t>
      </w:r>
    </w:p>
    <w:p w14:paraId="3CBA0982" w14:textId="77777777" w:rsidR="00D14D27" w:rsidRPr="009231B4" w:rsidRDefault="00D74919">
      <w:pPr>
        <w:numPr>
          <w:ilvl w:val="0"/>
          <w:numId w:val="5"/>
        </w:numPr>
        <w:spacing w:after="0"/>
        <w:ind w:right="2" w:hanging="355"/>
        <w:rPr>
          <w:color w:val="auto"/>
        </w:rPr>
      </w:pPr>
      <w:r w:rsidRPr="009231B4">
        <w:rPr>
          <w:color w:val="auto"/>
        </w:rPr>
        <w:t xml:space="preserve">who needs to be made aware of the breach and inform them of what they are expected to do to assist in the containment </w:t>
      </w:r>
      <w:proofErr w:type="gramStart"/>
      <w:r w:rsidRPr="009231B4">
        <w:rPr>
          <w:color w:val="auto"/>
        </w:rPr>
        <w:t>exercise.</w:t>
      </w:r>
      <w:proofErr w:type="gramEnd"/>
      <w:r w:rsidRPr="009231B4">
        <w:rPr>
          <w:color w:val="auto"/>
        </w:rPr>
        <w:t xml:space="preserve"> This may include isolating</w:t>
      </w:r>
      <w:r w:rsidRPr="009231B4">
        <w:rPr>
          <w:color w:val="auto"/>
        </w:rPr>
        <w:t xml:space="preserve"> or closing a compromised section of the network, finding a lost piece of equipment and/or changing the access codes </w:t>
      </w:r>
    </w:p>
    <w:p w14:paraId="480B9E09" w14:textId="77777777" w:rsidR="00D14D27" w:rsidRPr="009231B4" w:rsidRDefault="00D74919">
      <w:pPr>
        <w:numPr>
          <w:ilvl w:val="0"/>
          <w:numId w:val="5"/>
        </w:numPr>
        <w:spacing w:after="0"/>
        <w:ind w:right="2" w:hanging="355"/>
        <w:rPr>
          <w:color w:val="auto"/>
        </w:rPr>
      </w:pPr>
      <w:r w:rsidRPr="009231B4">
        <w:rPr>
          <w:color w:val="auto"/>
        </w:rPr>
        <w:t>whether there is anything that can be done to recover any losses and limit the damage the breach can cause. As well as the physical recove</w:t>
      </w:r>
      <w:r w:rsidRPr="009231B4">
        <w:rPr>
          <w:color w:val="auto"/>
        </w:rPr>
        <w:t xml:space="preserve">ry of equipment, this could involve the use of back-up hardware to restore lost or damaged data or ensuring that staff recognise when someone tries to use stolen data to access accounts    </w:t>
      </w:r>
    </w:p>
    <w:p w14:paraId="00BAA8FF" w14:textId="77777777" w:rsidR="00D14D27" w:rsidRPr="009231B4" w:rsidRDefault="00D74919">
      <w:pPr>
        <w:numPr>
          <w:ilvl w:val="0"/>
          <w:numId w:val="5"/>
        </w:numPr>
        <w:spacing w:after="82"/>
        <w:ind w:right="2" w:hanging="355"/>
        <w:rPr>
          <w:color w:val="auto"/>
        </w:rPr>
      </w:pPr>
      <w:r w:rsidRPr="009231B4">
        <w:rPr>
          <w:color w:val="auto"/>
        </w:rPr>
        <w:t xml:space="preserve">which authorities, if relevant, need to be informed </w:t>
      </w:r>
    </w:p>
    <w:p w14:paraId="13F1FD6E" w14:textId="77777777" w:rsidR="00D14D27" w:rsidRPr="009231B4" w:rsidRDefault="00D74919">
      <w:pPr>
        <w:pStyle w:val="Heading2"/>
        <w:ind w:left="369"/>
        <w:rPr>
          <w:color w:val="auto"/>
        </w:rPr>
      </w:pPr>
      <w:r w:rsidRPr="009231B4">
        <w:rPr>
          <w:color w:val="auto"/>
        </w:rPr>
        <w:t>2.</w:t>
      </w:r>
      <w:r w:rsidRPr="009231B4">
        <w:rPr>
          <w:rFonts w:ascii="Arial" w:eastAsia="Arial" w:hAnsi="Arial" w:cs="Arial"/>
          <w:color w:val="auto"/>
        </w:rPr>
        <w:t xml:space="preserve"> </w:t>
      </w:r>
      <w:r w:rsidRPr="009231B4">
        <w:rPr>
          <w:color w:val="auto"/>
        </w:rPr>
        <w:t>Assessment</w:t>
      </w:r>
      <w:r w:rsidRPr="009231B4">
        <w:rPr>
          <w:color w:val="auto"/>
        </w:rPr>
        <w:t xml:space="preserve"> of ongoing risk  </w:t>
      </w:r>
    </w:p>
    <w:p w14:paraId="459420AE" w14:textId="77777777" w:rsidR="00D14D27" w:rsidRPr="009231B4" w:rsidRDefault="00D74919">
      <w:pPr>
        <w:ind w:left="16" w:right="2"/>
        <w:rPr>
          <w:color w:val="auto"/>
        </w:rPr>
      </w:pPr>
      <w:r w:rsidRPr="009231B4">
        <w:rPr>
          <w:color w:val="auto"/>
        </w:rPr>
        <w:t xml:space="preserve">The following points will be considered in assessing the ongoing risk of the data breach: </w:t>
      </w:r>
    </w:p>
    <w:p w14:paraId="5EB68FA2" w14:textId="77777777" w:rsidR="00D14D27" w:rsidRPr="009231B4" w:rsidRDefault="00D74919">
      <w:pPr>
        <w:numPr>
          <w:ilvl w:val="0"/>
          <w:numId w:val="6"/>
        </w:numPr>
        <w:spacing w:after="10"/>
        <w:ind w:right="2" w:hanging="355"/>
        <w:rPr>
          <w:color w:val="auto"/>
        </w:rPr>
      </w:pPr>
      <w:r w:rsidRPr="009231B4">
        <w:rPr>
          <w:color w:val="auto"/>
        </w:rPr>
        <w:t xml:space="preserve">what type of data is involved? </w:t>
      </w:r>
    </w:p>
    <w:p w14:paraId="1CB128E6" w14:textId="77777777" w:rsidR="00D14D27" w:rsidRPr="009231B4" w:rsidRDefault="00D74919">
      <w:pPr>
        <w:numPr>
          <w:ilvl w:val="0"/>
          <w:numId w:val="6"/>
        </w:numPr>
        <w:spacing w:after="10"/>
        <w:ind w:right="2" w:hanging="355"/>
        <w:rPr>
          <w:color w:val="auto"/>
        </w:rPr>
      </w:pPr>
      <w:r w:rsidRPr="009231B4">
        <w:rPr>
          <w:color w:val="auto"/>
        </w:rPr>
        <w:t xml:space="preserve">how sensitive is it? </w:t>
      </w:r>
    </w:p>
    <w:p w14:paraId="537ABA5F" w14:textId="77777777" w:rsidR="00D14D27" w:rsidRPr="009231B4" w:rsidRDefault="00D74919">
      <w:pPr>
        <w:numPr>
          <w:ilvl w:val="0"/>
          <w:numId w:val="6"/>
        </w:numPr>
        <w:spacing w:after="10"/>
        <w:ind w:right="2" w:hanging="355"/>
        <w:rPr>
          <w:color w:val="auto"/>
        </w:rPr>
      </w:pPr>
      <w:r w:rsidRPr="009231B4">
        <w:rPr>
          <w:color w:val="auto"/>
        </w:rPr>
        <w:t xml:space="preserve">if data has been lost or stolen, are there any protections in place such as encryption?   </w:t>
      </w:r>
    </w:p>
    <w:p w14:paraId="264CBEE8" w14:textId="77777777" w:rsidR="00D14D27" w:rsidRPr="009231B4" w:rsidRDefault="00D74919">
      <w:pPr>
        <w:numPr>
          <w:ilvl w:val="0"/>
          <w:numId w:val="6"/>
        </w:numPr>
        <w:spacing w:after="0"/>
        <w:ind w:right="2" w:hanging="355"/>
        <w:rPr>
          <w:color w:val="auto"/>
        </w:rPr>
      </w:pPr>
      <w:r w:rsidRPr="009231B4">
        <w:rPr>
          <w:color w:val="auto"/>
        </w:rPr>
        <w:t>w</w:t>
      </w:r>
      <w:r w:rsidRPr="009231B4">
        <w:rPr>
          <w:color w:val="auto"/>
        </w:rPr>
        <w:t xml:space="preserve">hat has happened to the data? If data has been stolen, it could be used for purposes which are harmful to the individuals to whom the data relates; if it has been damaged, this poses a different type and level of risk   </w:t>
      </w:r>
    </w:p>
    <w:p w14:paraId="69448F70" w14:textId="77777777" w:rsidR="00D14D27" w:rsidRPr="009231B4" w:rsidRDefault="00D74919">
      <w:pPr>
        <w:numPr>
          <w:ilvl w:val="0"/>
          <w:numId w:val="6"/>
        </w:numPr>
        <w:spacing w:after="0"/>
        <w:ind w:right="2" w:hanging="355"/>
        <w:rPr>
          <w:color w:val="auto"/>
        </w:rPr>
      </w:pPr>
      <w:r w:rsidRPr="009231B4">
        <w:rPr>
          <w:color w:val="auto"/>
        </w:rPr>
        <w:t xml:space="preserve">regardless of what has happened to </w:t>
      </w:r>
      <w:r w:rsidRPr="009231B4">
        <w:rPr>
          <w:color w:val="auto"/>
        </w:rPr>
        <w:t xml:space="preserve">the data, what could the data tell a third party about the individual? </w:t>
      </w:r>
    </w:p>
    <w:p w14:paraId="063FAEA2" w14:textId="77777777" w:rsidR="00D14D27" w:rsidRPr="009231B4" w:rsidRDefault="00D74919">
      <w:pPr>
        <w:numPr>
          <w:ilvl w:val="0"/>
          <w:numId w:val="6"/>
        </w:numPr>
        <w:spacing w:after="10"/>
        <w:ind w:right="2" w:hanging="355"/>
        <w:rPr>
          <w:color w:val="auto"/>
        </w:rPr>
      </w:pPr>
      <w:r w:rsidRPr="009231B4">
        <w:rPr>
          <w:color w:val="auto"/>
        </w:rPr>
        <w:t xml:space="preserve">how many individuals’ personal data are affected by the breach?  </w:t>
      </w:r>
    </w:p>
    <w:p w14:paraId="541B2264" w14:textId="77777777" w:rsidR="00D14D27" w:rsidRPr="009231B4" w:rsidRDefault="00D74919">
      <w:pPr>
        <w:numPr>
          <w:ilvl w:val="0"/>
          <w:numId w:val="6"/>
        </w:numPr>
        <w:spacing w:after="10"/>
        <w:ind w:right="2" w:hanging="355"/>
        <w:rPr>
          <w:color w:val="auto"/>
        </w:rPr>
      </w:pPr>
      <w:r w:rsidRPr="009231B4">
        <w:rPr>
          <w:color w:val="auto"/>
        </w:rPr>
        <w:t xml:space="preserve">who are the individuals whose data has been breached? </w:t>
      </w:r>
    </w:p>
    <w:p w14:paraId="3003303E" w14:textId="77777777" w:rsidR="00D14D27" w:rsidRPr="009231B4" w:rsidRDefault="00D74919">
      <w:pPr>
        <w:numPr>
          <w:ilvl w:val="0"/>
          <w:numId w:val="6"/>
        </w:numPr>
        <w:spacing w:after="10"/>
        <w:ind w:right="2" w:hanging="355"/>
        <w:rPr>
          <w:color w:val="auto"/>
        </w:rPr>
      </w:pPr>
      <w:r w:rsidRPr="009231B4">
        <w:rPr>
          <w:color w:val="auto"/>
        </w:rPr>
        <w:t xml:space="preserve">what harm can come to those individuals?  </w:t>
      </w:r>
    </w:p>
    <w:p w14:paraId="055E932B" w14:textId="77777777" w:rsidR="00D14D27" w:rsidRPr="009231B4" w:rsidRDefault="00D74919">
      <w:pPr>
        <w:numPr>
          <w:ilvl w:val="0"/>
          <w:numId w:val="6"/>
        </w:numPr>
        <w:ind w:right="2" w:hanging="355"/>
        <w:rPr>
          <w:color w:val="auto"/>
        </w:rPr>
      </w:pPr>
      <w:r w:rsidRPr="009231B4">
        <w:rPr>
          <w:color w:val="auto"/>
        </w:rPr>
        <w:t>are there wider cons</w:t>
      </w:r>
      <w:r w:rsidRPr="009231B4">
        <w:rPr>
          <w:color w:val="auto"/>
        </w:rPr>
        <w:t xml:space="preserve">equences to consider such as a loss of public confidence in an important service we provide? </w:t>
      </w:r>
    </w:p>
    <w:p w14:paraId="18408787" w14:textId="77777777" w:rsidR="00D14D27" w:rsidRPr="009231B4" w:rsidRDefault="00D74919">
      <w:pPr>
        <w:pStyle w:val="Heading2"/>
        <w:ind w:left="369"/>
        <w:rPr>
          <w:color w:val="auto"/>
        </w:rPr>
      </w:pPr>
      <w:r w:rsidRPr="009231B4">
        <w:rPr>
          <w:color w:val="auto"/>
        </w:rPr>
        <w:t>3.</w:t>
      </w:r>
      <w:r w:rsidRPr="009231B4">
        <w:rPr>
          <w:rFonts w:ascii="Arial" w:eastAsia="Arial" w:hAnsi="Arial" w:cs="Arial"/>
          <w:color w:val="auto"/>
        </w:rPr>
        <w:t xml:space="preserve"> </w:t>
      </w:r>
      <w:r w:rsidRPr="009231B4">
        <w:rPr>
          <w:color w:val="auto"/>
        </w:rPr>
        <w:t xml:space="preserve">Notification of breach  </w:t>
      </w:r>
    </w:p>
    <w:p w14:paraId="7E9C14A4" w14:textId="77777777" w:rsidR="00D14D27" w:rsidRPr="009231B4" w:rsidRDefault="00D74919">
      <w:pPr>
        <w:ind w:left="16" w:right="2"/>
        <w:rPr>
          <w:color w:val="auto"/>
        </w:rPr>
      </w:pPr>
      <w:r w:rsidRPr="009231B4">
        <w:rPr>
          <w:color w:val="auto"/>
        </w:rPr>
        <w:t>Notification will take place to enable individuals who may have been affected to take steps to protect themselves or to allow the appr</w:t>
      </w:r>
      <w:r w:rsidRPr="009231B4">
        <w:rPr>
          <w:color w:val="auto"/>
        </w:rPr>
        <w:t xml:space="preserve">opriate regulatory bodies to perform their functions, provide advice and deal with complaints. </w:t>
      </w:r>
    </w:p>
    <w:p w14:paraId="44D0C62C" w14:textId="77777777" w:rsidR="00D14D27" w:rsidRPr="009231B4" w:rsidRDefault="00D74919">
      <w:pPr>
        <w:pStyle w:val="Heading2"/>
        <w:ind w:left="369"/>
        <w:rPr>
          <w:color w:val="auto"/>
        </w:rPr>
      </w:pPr>
      <w:r w:rsidRPr="009231B4">
        <w:rPr>
          <w:color w:val="auto"/>
        </w:rPr>
        <w:t>4.</w:t>
      </w:r>
      <w:r w:rsidRPr="009231B4">
        <w:rPr>
          <w:rFonts w:ascii="Arial" w:eastAsia="Arial" w:hAnsi="Arial" w:cs="Arial"/>
          <w:color w:val="auto"/>
        </w:rPr>
        <w:t xml:space="preserve"> </w:t>
      </w:r>
      <w:r w:rsidRPr="009231B4">
        <w:rPr>
          <w:color w:val="auto"/>
        </w:rPr>
        <w:t xml:space="preserve">Evaluation and response </w:t>
      </w:r>
    </w:p>
    <w:p w14:paraId="184F63B9" w14:textId="77777777" w:rsidR="00D14D27" w:rsidRPr="009231B4" w:rsidRDefault="00D74919">
      <w:pPr>
        <w:ind w:left="17" w:right="2"/>
        <w:rPr>
          <w:color w:val="auto"/>
        </w:rPr>
      </w:pPr>
      <w:r w:rsidRPr="009231B4">
        <w:rPr>
          <w:color w:val="auto"/>
        </w:rPr>
        <w:t xml:space="preserve">Once a data breach has been resolved, a full investigation of the incident will take place. This will include: </w:t>
      </w:r>
    </w:p>
    <w:p w14:paraId="38B16C9A" w14:textId="77777777" w:rsidR="00D14D27" w:rsidRPr="009231B4" w:rsidRDefault="00D74919">
      <w:pPr>
        <w:numPr>
          <w:ilvl w:val="0"/>
          <w:numId w:val="7"/>
        </w:numPr>
        <w:spacing w:after="10"/>
        <w:ind w:right="2" w:hanging="355"/>
        <w:rPr>
          <w:color w:val="auto"/>
        </w:rPr>
      </w:pPr>
      <w:r w:rsidRPr="009231B4">
        <w:rPr>
          <w:color w:val="auto"/>
        </w:rPr>
        <w:t xml:space="preserve">reviewing what data is held and where and how it is stored </w:t>
      </w:r>
    </w:p>
    <w:p w14:paraId="09A012DC" w14:textId="77777777" w:rsidR="00D14D27" w:rsidRPr="009231B4" w:rsidRDefault="00D74919">
      <w:pPr>
        <w:numPr>
          <w:ilvl w:val="0"/>
          <w:numId w:val="7"/>
        </w:numPr>
        <w:spacing w:after="0"/>
        <w:ind w:right="2" w:hanging="355"/>
        <w:rPr>
          <w:color w:val="auto"/>
        </w:rPr>
      </w:pPr>
      <w:r w:rsidRPr="009231B4">
        <w:rPr>
          <w:color w:val="auto"/>
        </w:rPr>
        <w:t>identifying where risks and weak points in security measures lie (for example, use o</w:t>
      </w:r>
      <w:r w:rsidRPr="009231B4">
        <w:rPr>
          <w:color w:val="auto"/>
        </w:rPr>
        <w:t xml:space="preserve">f portable storage devices or access to public networks) </w:t>
      </w:r>
    </w:p>
    <w:p w14:paraId="5D003D43" w14:textId="77777777" w:rsidR="00D14D27" w:rsidRPr="009231B4" w:rsidRDefault="00D74919">
      <w:pPr>
        <w:numPr>
          <w:ilvl w:val="0"/>
          <w:numId w:val="7"/>
        </w:numPr>
        <w:spacing w:after="10"/>
        <w:ind w:right="2" w:hanging="355"/>
        <w:rPr>
          <w:color w:val="auto"/>
        </w:rPr>
      </w:pPr>
      <w:r w:rsidRPr="009231B4">
        <w:rPr>
          <w:color w:val="auto"/>
        </w:rPr>
        <w:t xml:space="preserve">reviewing methods of data sharing and transmission </w:t>
      </w:r>
    </w:p>
    <w:p w14:paraId="6D3B2E25" w14:textId="77777777" w:rsidR="00D14D27" w:rsidRPr="009231B4" w:rsidRDefault="00D74919">
      <w:pPr>
        <w:numPr>
          <w:ilvl w:val="0"/>
          <w:numId w:val="7"/>
        </w:numPr>
        <w:spacing w:after="10"/>
        <w:ind w:right="2" w:hanging="355"/>
        <w:rPr>
          <w:color w:val="auto"/>
        </w:rPr>
      </w:pPr>
      <w:r w:rsidRPr="009231B4">
        <w:rPr>
          <w:color w:val="auto"/>
        </w:rPr>
        <w:t xml:space="preserve">increasing staff awareness of data security and filling gaps through training or tailored advice </w:t>
      </w:r>
    </w:p>
    <w:p w14:paraId="1266367C" w14:textId="683873D6" w:rsidR="00D14D27" w:rsidRDefault="00D74919">
      <w:pPr>
        <w:numPr>
          <w:ilvl w:val="0"/>
          <w:numId w:val="7"/>
        </w:numPr>
        <w:spacing w:after="222"/>
        <w:ind w:right="2" w:hanging="355"/>
        <w:rPr>
          <w:color w:val="auto"/>
        </w:rPr>
      </w:pPr>
      <w:r w:rsidRPr="009231B4">
        <w:rPr>
          <w:color w:val="auto"/>
        </w:rPr>
        <w:t xml:space="preserve">reviewing contingency plans  </w:t>
      </w:r>
    </w:p>
    <w:p w14:paraId="58C0BA26" w14:textId="74B222BC" w:rsidR="009231B4" w:rsidRDefault="009231B4" w:rsidP="009231B4">
      <w:pPr>
        <w:spacing w:after="222"/>
        <w:ind w:right="2"/>
        <w:rPr>
          <w:color w:val="auto"/>
        </w:rPr>
      </w:pPr>
    </w:p>
    <w:p w14:paraId="70EB8BD1" w14:textId="175FC524" w:rsidR="009231B4" w:rsidRDefault="009231B4" w:rsidP="009231B4">
      <w:pPr>
        <w:spacing w:after="222"/>
        <w:ind w:right="2"/>
        <w:rPr>
          <w:color w:val="auto"/>
        </w:rPr>
      </w:pPr>
    </w:p>
    <w:p w14:paraId="501AC56D" w14:textId="2E14CE26" w:rsidR="009231B4" w:rsidRDefault="009231B4" w:rsidP="009231B4">
      <w:pPr>
        <w:spacing w:after="222"/>
        <w:ind w:right="2"/>
        <w:rPr>
          <w:color w:val="auto"/>
        </w:rPr>
      </w:pPr>
    </w:p>
    <w:p w14:paraId="6F3562B1" w14:textId="6E1806CD" w:rsidR="009231B4" w:rsidRDefault="009231B4" w:rsidP="009231B4">
      <w:pPr>
        <w:spacing w:after="222"/>
        <w:ind w:right="2"/>
        <w:rPr>
          <w:color w:val="auto"/>
        </w:rPr>
      </w:pPr>
    </w:p>
    <w:p w14:paraId="2AC9D2E5" w14:textId="77777777" w:rsidR="009231B4" w:rsidRPr="009231B4" w:rsidRDefault="009231B4" w:rsidP="009231B4">
      <w:pPr>
        <w:spacing w:after="222"/>
        <w:ind w:right="2"/>
        <w:rPr>
          <w:color w:val="auto"/>
        </w:rPr>
      </w:pPr>
    </w:p>
    <w:p w14:paraId="7644DC08" w14:textId="77777777" w:rsidR="00D14D27" w:rsidRPr="009231B4" w:rsidRDefault="00D74919">
      <w:pPr>
        <w:pStyle w:val="Heading1"/>
        <w:ind w:left="10"/>
        <w:rPr>
          <w:color w:val="auto"/>
        </w:rPr>
      </w:pPr>
      <w:r w:rsidRPr="009231B4">
        <w:rPr>
          <w:color w:val="auto"/>
        </w:rPr>
        <w:lastRenderedPageBreak/>
        <w:t>Section 5 – Candid</w:t>
      </w:r>
      <w:r w:rsidRPr="009231B4">
        <w:rPr>
          <w:color w:val="auto"/>
        </w:rPr>
        <w:t xml:space="preserve">ate information, audit and protection measures </w:t>
      </w:r>
    </w:p>
    <w:p w14:paraId="4ABA0675" w14:textId="77777777" w:rsidR="00D14D27" w:rsidRPr="009231B4" w:rsidRDefault="00D74919">
      <w:pPr>
        <w:ind w:right="2"/>
        <w:rPr>
          <w:color w:val="auto"/>
        </w:rPr>
      </w:pPr>
      <w:r w:rsidRPr="009231B4">
        <w:rPr>
          <w:color w:val="auto"/>
        </w:rPr>
        <w:t xml:space="preserve">For the purposes of this policy, all candidates’ exam-related information – even that not considered personal or sensitive under the DPA/GDPR – will be handled in line with DPA/GDPR guidelines.  </w:t>
      </w:r>
    </w:p>
    <w:p w14:paraId="5D96918A" w14:textId="77777777" w:rsidR="00D14D27" w:rsidRPr="009231B4" w:rsidRDefault="00D74919">
      <w:pPr>
        <w:ind w:right="2"/>
        <w:rPr>
          <w:color w:val="auto"/>
        </w:rPr>
      </w:pPr>
      <w:r w:rsidRPr="009231B4">
        <w:rPr>
          <w:color w:val="auto"/>
        </w:rPr>
        <w:t>An informati</w:t>
      </w:r>
      <w:r w:rsidRPr="009231B4">
        <w:rPr>
          <w:color w:val="auto"/>
        </w:rPr>
        <w:t xml:space="preserve">on audit is conducted as outlined in the data protection policies. </w:t>
      </w:r>
    </w:p>
    <w:p w14:paraId="745A4F92" w14:textId="77777777" w:rsidR="00D14D27" w:rsidRPr="009231B4" w:rsidRDefault="00D74919">
      <w:pPr>
        <w:ind w:right="2"/>
        <w:rPr>
          <w:color w:val="auto"/>
        </w:rPr>
      </w:pPr>
      <w:r w:rsidRPr="009231B4">
        <w:rPr>
          <w:color w:val="auto"/>
        </w:rPr>
        <w:t xml:space="preserve">The table below details the type of candidate exams-related information held, and how it is managed, stored and protected </w:t>
      </w:r>
    </w:p>
    <w:p w14:paraId="47AB7838" w14:textId="77777777" w:rsidR="00D14D27" w:rsidRPr="009231B4" w:rsidRDefault="00D74919">
      <w:pPr>
        <w:ind w:right="2"/>
        <w:rPr>
          <w:color w:val="auto"/>
        </w:rPr>
      </w:pPr>
      <w:r w:rsidRPr="009231B4">
        <w:rPr>
          <w:color w:val="auto"/>
        </w:rPr>
        <w:t xml:space="preserve">Protection measures may include: </w:t>
      </w:r>
    </w:p>
    <w:p w14:paraId="182FD0A4" w14:textId="77777777" w:rsidR="00D14D27" w:rsidRPr="009231B4" w:rsidRDefault="00D74919">
      <w:pPr>
        <w:numPr>
          <w:ilvl w:val="0"/>
          <w:numId w:val="8"/>
        </w:numPr>
        <w:spacing w:after="10"/>
        <w:ind w:right="2" w:hanging="360"/>
        <w:rPr>
          <w:color w:val="auto"/>
        </w:rPr>
      </w:pPr>
      <w:r w:rsidRPr="009231B4">
        <w:rPr>
          <w:color w:val="auto"/>
        </w:rPr>
        <w:t xml:space="preserve">password protected area on the </w:t>
      </w:r>
      <w:r w:rsidRPr="009231B4">
        <w:rPr>
          <w:color w:val="auto"/>
        </w:rPr>
        <w:t xml:space="preserve">centre's intranet </w:t>
      </w:r>
    </w:p>
    <w:p w14:paraId="7D63E450" w14:textId="77777777" w:rsidR="00D14D27" w:rsidRPr="009231B4" w:rsidRDefault="00D74919">
      <w:pPr>
        <w:numPr>
          <w:ilvl w:val="0"/>
          <w:numId w:val="8"/>
        </w:numPr>
        <w:spacing w:after="10"/>
        <w:ind w:right="2" w:hanging="360"/>
        <w:rPr>
          <w:color w:val="auto"/>
        </w:rPr>
      </w:pPr>
      <w:r w:rsidRPr="009231B4">
        <w:rPr>
          <w:color w:val="auto"/>
        </w:rPr>
        <w:t xml:space="preserve">secure drive accessible only to selected staff </w:t>
      </w:r>
    </w:p>
    <w:p w14:paraId="7C3ACEDD" w14:textId="77777777" w:rsidR="00D14D27" w:rsidRPr="009231B4" w:rsidRDefault="00D74919">
      <w:pPr>
        <w:numPr>
          <w:ilvl w:val="0"/>
          <w:numId w:val="8"/>
        </w:numPr>
        <w:spacing w:after="10"/>
        <w:ind w:right="2" w:hanging="360"/>
        <w:rPr>
          <w:color w:val="auto"/>
        </w:rPr>
      </w:pPr>
      <w:r w:rsidRPr="009231B4">
        <w:rPr>
          <w:color w:val="auto"/>
        </w:rPr>
        <w:t xml:space="preserve">information held in secure area  </w:t>
      </w:r>
    </w:p>
    <w:p w14:paraId="771EF396" w14:textId="77777777" w:rsidR="00D14D27" w:rsidRPr="009231B4" w:rsidRDefault="00D74919">
      <w:pPr>
        <w:numPr>
          <w:ilvl w:val="0"/>
          <w:numId w:val="8"/>
        </w:numPr>
        <w:spacing w:after="246"/>
        <w:ind w:right="2" w:hanging="360"/>
        <w:rPr>
          <w:color w:val="auto"/>
        </w:rPr>
      </w:pPr>
      <w:r w:rsidRPr="009231B4">
        <w:rPr>
          <w:color w:val="auto"/>
        </w:rPr>
        <w:t xml:space="preserve">updates undertaken as per IT policy (this may include updating antivirus software, firewalls, internet browsers etc.) </w:t>
      </w:r>
    </w:p>
    <w:p w14:paraId="7973B2B5" w14:textId="77777777" w:rsidR="00D14D27" w:rsidRPr="009231B4" w:rsidRDefault="00D74919">
      <w:pPr>
        <w:pStyle w:val="Heading1"/>
        <w:ind w:left="10"/>
        <w:rPr>
          <w:color w:val="auto"/>
        </w:rPr>
      </w:pPr>
      <w:r w:rsidRPr="009231B4">
        <w:rPr>
          <w:color w:val="auto"/>
        </w:rPr>
        <w:t xml:space="preserve">Section 6 – Data retention periods </w:t>
      </w:r>
    </w:p>
    <w:p w14:paraId="669BB546" w14:textId="77777777" w:rsidR="00D14D27" w:rsidRPr="009231B4" w:rsidRDefault="00D74919">
      <w:pPr>
        <w:ind w:right="2"/>
        <w:rPr>
          <w:color w:val="auto"/>
        </w:rPr>
      </w:pPr>
      <w:r w:rsidRPr="009231B4">
        <w:rPr>
          <w:color w:val="auto"/>
        </w:rPr>
        <w:t>Details of retention periods, the actions taken at the end of the retention period and method of disposal are contained in the centre’s Retention policy located on the school shared drive.  Liaise with the DPO.</w:t>
      </w:r>
      <w:r w:rsidRPr="009231B4">
        <w:rPr>
          <w:b/>
          <w:color w:val="auto"/>
        </w:rPr>
        <w:t xml:space="preserve"> </w:t>
      </w:r>
    </w:p>
    <w:p w14:paraId="7E863171" w14:textId="77777777" w:rsidR="00D14D27" w:rsidRPr="009231B4" w:rsidRDefault="00D74919">
      <w:pPr>
        <w:pStyle w:val="Heading1"/>
        <w:ind w:left="10"/>
        <w:rPr>
          <w:color w:val="auto"/>
        </w:rPr>
      </w:pPr>
      <w:r w:rsidRPr="009231B4">
        <w:rPr>
          <w:color w:val="auto"/>
        </w:rPr>
        <w:t xml:space="preserve">Section 7 – Access to information </w:t>
      </w:r>
    </w:p>
    <w:p w14:paraId="7D23B548" w14:textId="77777777" w:rsidR="00D14D27" w:rsidRPr="009231B4" w:rsidRDefault="00D74919">
      <w:pPr>
        <w:spacing w:after="94" w:line="259" w:lineRule="auto"/>
        <w:ind w:firstLine="0"/>
        <w:rPr>
          <w:color w:val="auto"/>
        </w:rPr>
      </w:pPr>
      <w:r w:rsidRPr="009231B4">
        <w:rPr>
          <w:color w:val="auto"/>
        </w:rPr>
        <w:t>(With ref</w:t>
      </w:r>
      <w:r w:rsidRPr="009231B4">
        <w:rPr>
          <w:color w:val="auto"/>
        </w:rPr>
        <w:t xml:space="preserve">erence to ICO information </w:t>
      </w:r>
      <w:hyperlink r:id="rId11">
        <w:r w:rsidRPr="009231B4">
          <w:rPr>
            <w:color w:val="auto"/>
          </w:rPr>
          <w:t>https://ico.org.uk/for-the-public/schools/exam-results/</w:t>
        </w:r>
      </w:hyperlink>
      <w:hyperlink r:id="rId12">
        <w:r w:rsidRPr="009231B4">
          <w:rPr>
            <w:color w:val="auto"/>
          </w:rPr>
          <w:t>)</w:t>
        </w:r>
      </w:hyperlink>
      <w:r w:rsidRPr="009231B4">
        <w:rPr>
          <w:color w:val="auto"/>
        </w:rPr>
        <w:t xml:space="preserve"> </w:t>
      </w:r>
    </w:p>
    <w:p w14:paraId="5DEE8776" w14:textId="77777777" w:rsidR="00D14D27" w:rsidRPr="009231B4" w:rsidRDefault="00D74919">
      <w:pPr>
        <w:ind w:right="2"/>
        <w:rPr>
          <w:color w:val="auto"/>
        </w:rPr>
      </w:pPr>
      <w:r w:rsidRPr="009231B4">
        <w:rPr>
          <w:color w:val="auto"/>
        </w:rPr>
        <w:t>The UK GDPR gives indi</w:t>
      </w:r>
      <w:r w:rsidRPr="009231B4">
        <w:rPr>
          <w:color w:val="auto"/>
        </w:rPr>
        <w:t xml:space="preserve">viduals the right to see information held about them. This means individuals can request information about them and their exam performance, including: </w:t>
      </w:r>
    </w:p>
    <w:p w14:paraId="22CFA0E5" w14:textId="77777777" w:rsidR="00D14D27" w:rsidRPr="009231B4" w:rsidRDefault="00D74919">
      <w:pPr>
        <w:numPr>
          <w:ilvl w:val="0"/>
          <w:numId w:val="9"/>
        </w:numPr>
        <w:spacing w:after="10"/>
        <w:ind w:right="2" w:hanging="360"/>
        <w:rPr>
          <w:color w:val="auto"/>
        </w:rPr>
      </w:pPr>
      <w:r w:rsidRPr="009231B4">
        <w:rPr>
          <w:color w:val="auto"/>
        </w:rPr>
        <w:t xml:space="preserve">their mark  </w:t>
      </w:r>
    </w:p>
    <w:p w14:paraId="125C41AB" w14:textId="77777777" w:rsidR="00D14D27" w:rsidRPr="009231B4" w:rsidRDefault="00D74919">
      <w:pPr>
        <w:numPr>
          <w:ilvl w:val="0"/>
          <w:numId w:val="9"/>
        </w:numPr>
        <w:spacing w:after="10"/>
        <w:ind w:right="2" w:hanging="360"/>
        <w:rPr>
          <w:color w:val="auto"/>
        </w:rPr>
      </w:pPr>
      <w:r w:rsidRPr="009231B4">
        <w:rPr>
          <w:color w:val="auto"/>
        </w:rPr>
        <w:t xml:space="preserve">comments written by the examiner </w:t>
      </w:r>
    </w:p>
    <w:p w14:paraId="784FF3BE" w14:textId="77777777" w:rsidR="00D14D27" w:rsidRPr="009231B4" w:rsidRDefault="00D74919">
      <w:pPr>
        <w:numPr>
          <w:ilvl w:val="0"/>
          <w:numId w:val="9"/>
        </w:numPr>
        <w:spacing w:after="82"/>
        <w:ind w:right="2" w:hanging="360"/>
        <w:rPr>
          <w:color w:val="auto"/>
        </w:rPr>
      </w:pPr>
      <w:r w:rsidRPr="009231B4">
        <w:rPr>
          <w:color w:val="auto"/>
        </w:rPr>
        <w:t xml:space="preserve">minutes of any examination appeals panels </w:t>
      </w:r>
    </w:p>
    <w:p w14:paraId="2E46A9D3" w14:textId="77777777" w:rsidR="00D14D27" w:rsidRPr="009231B4" w:rsidRDefault="00D74919">
      <w:pPr>
        <w:ind w:right="2"/>
        <w:rPr>
          <w:color w:val="auto"/>
        </w:rPr>
      </w:pPr>
      <w:r w:rsidRPr="009231B4">
        <w:rPr>
          <w:color w:val="auto"/>
        </w:rPr>
        <w:t xml:space="preserve">This does not </w:t>
      </w:r>
      <w:r w:rsidRPr="009231B4">
        <w:rPr>
          <w:color w:val="auto"/>
        </w:rPr>
        <w:t xml:space="preserve">however give individuals the right to copies of their answers to exam questions. </w:t>
      </w:r>
    </w:p>
    <w:p w14:paraId="67EDC969" w14:textId="77777777" w:rsidR="00D14D27" w:rsidRPr="009231B4" w:rsidRDefault="00D74919">
      <w:pPr>
        <w:pStyle w:val="Heading2"/>
        <w:ind w:left="25"/>
        <w:rPr>
          <w:color w:val="auto"/>
        </w:rPr>
      </w:pPr>
      <w:r w:rsidRPr="009231B4">
        <w:rPr>
          <w:color w:val="auto"/>
        </w:rPr>
        <w:t>Requesting exam information</w:t>
      </w:r>
      <w:r w:rsidRPr="009231B4">
        <w:rPr>
          <w:b w:val="0"/>
          <w:color w:val="auto"/>
        </w:rPr>
        <w:t xml:space="preserve"> </w:t>
      </w:r>
    </w:p>
    <w:p w14:paraId="28549F1B" w14:textId="77777777" w:rsidR="00D14D27" w:rsidRPr="009231B4" w:rsidRDefault="00D74919">
      <w:pPr>
        <w:ind w:right="2"/>
        <w:rPr>
          <w:color w:val="auto"/>
        </w:rPr>
      </w:pPr>
      <w:r w:rsidRPr="009231B4">
        <w:rPr>
          <w:color w:val="auto"/>
        </w:rPr>
        <w:t xml:space="preserve">Requests for exam information can be made to the Data Protection officer or the Exams </w:t>
      </w:r>
      <w:proofErr w:type="gramStart"/>
      <w:r w:rsidRPr="009231B4">
        <w:rPr>
          <w:color w:val="auto"/>
        </w:rPr>
        <w:t>department  in</w:t>
      </w:r>
      <w:proofErr w:type="gramEnd"/>
      <w:r w:rsidRPr="009231B4">
        <w:rPr>
          <w:color w:val="auto"/>
        </w:rPr>
        <w:t xml:space="preserve"> writing or in person.  In both cases, photo </w:t>
      </w:r>
      <w:r w:rsidRPr="009231B4">
        <w:rPr>
          <w:color w:val="auto"/>
        </w:rPr>
        <w:t>ID is required if a former candidate is unknown to staff. The GDPR does not specify an age when a child can request their exam results or request that they aren’t published. When a child makes a request, those responsible for responding should take into ac</w:t>
      </w:r>
      <w:r w:rsidRPr="009231B4">
        <w:rPr>
          <w:color w:val="auto"/>
        </w:rPr>
        <w:t xml:space="preserve">count whether: </w:t>
      </w:r>
    </w:p>
    <w:p w14:paraId="5168A01B" w14:textId="77777777" w:rsidR="00D14D27" w:rsidRPr="009231B4" w:rsidRDefault="00D74919">
      <w:pPr>
        <w:numPr>
          <w:ilvl w:val="0"/>
          <w:numId w:val="10"/>
        </w:numPr>
        <w:spacing w:after="0"/>
        <w:ind w:right="2" w:hanging="360"/>
        <w:rPr>
          <w:color w:val="auto"/>
        </w:rPr>
      </w:pPr>
      <w:r w:rsidRPr="009231B4">
        <w:rPr>
          <w:color w:val="auto"/>
        </w:rPr>
        <w:t xml:space="preserve">the child wants their parent (or someone with parental responsibility for them) to be involved; and </w:t>
      </w:r>
    </w:p>
    <w:p w14:paraId="35D308B8" w14:textId="77777777" w:rsidR="00D14D27" w:rsidRPr="009231B4" w:rsidRDefault="00D74919">
      <w:pPr>
        <w:numPr>
          <w:ilvl w:val="0"/>
          <w:numId w:val="10"/>
        </w:numPr>
        <w:spacing w:after="82"/>
        <w:ind w:right="2" w:hanging="360"/>
        <w:rPr>
          <w:color w:val="auto"/>
        </w:rPr>
      </w:pPr>
      <w:r w:rsidRPr="009231B4">
        <w:rPr>
          <w:color w:val="auto"/>
        </w:rPr>
        <w:t xml:space="preserve">the child properly understands what is involved. </w:t>
      </w:r>
    </w:p>
    <w:p w14:paraId="7C025DAC" w14:textId="77777777" w:rsidR="00D14D27" w:rsidRPr="009231B4" w:rsidRDefault="00D74919">
      <w:pPr>
        <w:ind w:left="16" w:right="2"/>
        <w:rPr>
          <w:color w:val="auto"/>
        </w:rPr>
      </w:pPr>
      <w:r w:rsidRPr="009231B4">
        <w:rPr>
          <w:color w:val="auto"/>
        </w:rPr>
        <w:t xml:space="preserve">The ability of young people to understand and exercise their rights is likely to develop </w:t>
      </w:r>
      <w:r w:rsidRPr="009231B4">
        <w:rPr>
          <w:color w:val="auto"/>
        </w:rPr>
        <w:t>or become more sophisticated as they get older. As a general guide, a child of 12 or older is expected to be mature enough to understand the request they are making. A child may, of course, be mature enough at an earlier age or may lack sufficient maturity</w:t>
      </w:r>
      <w:r w:rsidRPr="009231B4">
        <w:rPr>
          <w:color w:val="auto"/>
        </w:rPr>
        <w:t xml:space="preserve"> until a later age, and so requests should be considered on a </w:t>
      </w:r>
      <w:proofErr w:type="gramStart"/>
      <w:r w:rsidRPr="009231B4">
        <w:rPr>
          <w:color w:val="auto"/>
        </w:rPr>
        <w:t>case by case</w:t>
      </w:r>
      <w:proofErr w:type="gramEnd"/>
      <w:r w:rsidRPr="009231B4">
        <w:rPr>
          <w:color w:val="auto"/>
        </w:rPr>
        <w:t xml:space="preserve"> basis. </w:t>
      </w:r>
    </w:p>
    <w:p w14:paraId="01D07FBB" w14:textId="1BAC6EBD" w:rsidR="00D14D27" w:rsidRDefault="00D74919">
      <w:pPr>
        <w:ind w:right="2"/>
        <w:rPr>
          <w:color w:val="auto"/>
        </w:rPr>
      </w:pPr>
      <w:r w:rsidRPr="009231B4">
        <w:rPr>
          <w:color w:val="auto"/>
        </w:rPr>
        <w:t>If the request is beyond accessing certificates or results, a decision will be made by the Head of Centre</w:t>
      </w:r>
      <w:r w:rsidRPr="009231B4">
        <w:rPr>
          <w:color w:val="auto"/>
        </w:rPr>
        <w:t xml:space="preserve"> </w:t>
      </w:r>
      <w:r w:rsidRPr="009231B4">
        <w:rPr>
          <w:color w:val="auto"/>
        </w:rPr>
        <w:t>as to whether the student is mature enough to understand the reques</w:t>
      </w:r>
      <w:r w:rsidRPr="009231B4">
        <w:rPr>
          <w:color w:val="auto"/>
        </w:rPr>
        <w:t xml:space="preserve">t they are making, with requests considered on a </w:t>
      </w:r>
      <w:proofErr w:type="gramStart"/>
      <w:r w:rsidRPr="009231B4">
        <w:rPr>
          <w:color w:val="auto"/>
        </w:rPr>
        <w:t>case by case</w:t>
      </w:r>
      <w:proofErr w:type="gramEnd"/>
      <w:r w:rsidRPr="009231B4">
        <w:rPr>
          <w:color w:val="auto"/>
        </w:rPr>
        <w:t xml:space="preserve"> basis. </w:t>
      </w:r>
    </w:p>
    <w:p w14:paraId="41211071" w14:textId="77777777" w:rsidR="009231B4" w:rsidRPr="009231B4" w:rsidRDefault="009231B4">
      <w:pPr>
        <w:ind w:right="2"/>
        <w:rPr>
          <w:color w:val="auto"/>
        </w:rPr>
      </w:pPr>
    </w:p>
    <w:p w14:paraId="36C0E04E" w14:textId="77777777" w:rsidR="00D14D27" w:rsidRPr="009231B4" w:rsidRDefault="00D74919">
      <w:pPr>
        <w:pStyle w:val="Heading2"/>
        <w:ind w:left="25"/>
        <w:rPr>
          <w:color w:val="auto"/>
        </w:rPr>
      </w:pPr>
      <w:r w:rsidRPr="009231B4">
        <w:rPr>
          <w:color w:val="auto"/>
        </w:rPr>
        <w:lastRenderedPageBreak/>
        <w:t xml:space="preserve">Responding to requests </w:t>
      </w:r>
    </w:p>
    <w:p w14:paraId="2069F319" w14:textId="77777777" w:rsidR="00D14D27" w:rsidRPr="009231B4" w:rsidRDefault="00D74919">
      <w:pPr>
        <w:ind w:right="2"/>
        <w:rPr>
          <w:color w:val="auto"/>
        </w:rPr>
      </w:pPr>
      <w:r w:rsidRPr="009231B4">
        <w:rPr>
          <w:color w:val="auto"/>
        </w:rPr>
        <w:t xml:space="preserve">If a request is made for exam information before exam results have been published, a request will be responded to: </w:t>
      </w:r>
    </w:p>
    <w:p w14:paraId="1B9FB9A3" w14:textId="77777777" w:rsidR="00D14D27" w:rsidRPr="009231B4" w:rsidRDefault="00D74919">
      <w:pPr>
        <w:numPr>
          <w:ilvl w:val="0"/>
          <w:numId w:val="11"/>
        </w:numPr>
        <w:spacing w:after="10"/>
        <w:ind w:right="2" w:hanging="360"/>
        <w:rPr>
          <w:color w:val="auto"/>
        </w:rPr>
      </w:pPr>
      <w:r w:rsidRPr="009231B4">
        <w:rPr>
          <w:color w:val="auto"/>
        </w:rPr>
        <w:t xml:space="preserve">within five months of the date of the request, or </w:t>
      </w:r>
    </w:p>
    <w:p w14:paraId="59A1547E" w14:textId="77777777" w:rsidR="00D14D27" w:rsidRPr="009231B4" w:rsidRDefault="00D74919">
      <w:pPr>
        <w:numPr>
          <w:ilvl w:val="0"/>
          <w:numId w:val="11"/>
        </w:numPr>
        <w:spacing w:after="82"/>
        <w:ind w:right="2" w:hanging="360"/>
        <w:rPr>
          <w:color w:val="auto"/>
        </w:rPr>
      </w:pPr>
      <w:r w:rsidRPr="009231B4">
        <w:rPr>
          <w:color w:val="auto"/>
        </w:rPr>
        <w:t xml:space="preserve">within 40 days from when the results are published (whichever is earlier) </w:t>
      </w:r>
    </w:p>
    <w:p w14:paraId="018E9750" w14:textId="77777777" w:rsidR="00D74919" w:rsidRDefault="00D74919">
      <w:pPr>
        <w:spacing w:after="107" w:line="238" w:lineRule="auto"/>
        <w:ind w:left="10" w:right="441" w:hanging="10"/>
        <w:jc w:val="both"/>
        <w:rPr>
          <w:color w:val="auto"/>
        </w:rPr>
      </w:pPr>
      <w:r w:rsidRPr="009231B4">
        <w:rPr>
          <w:color w:val="auto"/>
        </w:rPr>
        <w:t>If a request is made once exam results have been published, the individual will receive a response within one month of their reque</w:t>
      </w:r>
      <w:r w:rsidRPr="009231B4">
        <w:rPr>
          <w:color w:val="auto"/>
        </w:rPr>
        <w:t xml:space="preserve">st.  </w:t>
      </w:r>
    </w:p>
    <w:p w14:paraId="44A915CD" w14:textId="77777777" w:rsidR="00D74919" w:rsidRDefault="00D74919">
      <w:pPr>
        <w:spacing w:after="107" w:line="238" w:lineRule="auto"/>
        <w:ind w:left="10" w:right="441" w:hanging="10"/>
        <w:jc w:val="both"/>
        <w:rPr>
          <w:color w:val="auto"/>
        </w:rPr>
      </w:pPr>
    </w:p>
    <w:p w14:paraId="1D333B0B" w14:textId="564F8B8A" w:rsidR="00D14D27" w:rsidRPr="009231B4" w:rsidRDefault="00D74919">
      <w:pPr>
        <w:spacing w:after="107" w:line="238" w:lineRule="auto"/>
        <w:ind w:left="10" w:right="441" w:hanging="10"/>
        <w:jc w:val="both"/>
        <w:rPr>
          <w:color w:val="auto"/>
        </w:rPr>
      </w:pPr>
      <w:r w:rsidRPr="009231B4">
        <w:rPr>
          <w:b/>
          <w:color w:val="auto"/>
        </w:rPr>
        <w:t xml:space="preserve">Third party access </w:t>
      </w:r>
    </w:p>
    <w:p w14:paraId="516CE398" w14:textId="77777777" w:rsidR="00D14D27" w:rsidRPr="009231B4" w:rsidRDefault="00D74919">
      <w:pPr>
        <w:ind w:right="2"/>
        <w:rPr>
          <w:color w:val="auto"/>
        </w:rPr>
      </w:pPr>
      <w:r w:rsidRPr="009231B4">
        <w:rPr>
          <w:color w:val="auto"/>
        </w:rPr>
        <w:t xml:space="preserve">Permission should be obtained before requesting personal information on another individual from a third-party organisation.  </w:t>
      </w:r>
    </w:p>
    <w:p w14:paraId="59642CD0" w14:textId="77777777" w:rsidR="00D14D27" w:rsidRPr="009231B4" w:rsidRDefault="00D74919">
      <w:pPr>
        <w:ind w:right="2"/>
        <w:rPr>
          <w:color w:val="auto"/>
        </w:rPr>
      </w:pPr>
      <w:r w:rsidRPr="009231B4">
        <w:rPr>
          <w:color w:val="auto"/>
        </w:rPr>
        <w:t xml:space="preserve">Candidates’ personal data will not be shared with a third party. </w:t>
      </w:r>
    </w:p>
    <w:p w14:paraId="7318054C" w14:textId="77777777" w:rsidR="00D14D27" w:rsidRPr="009231B4" w:rsidRDefault="00D74919">
      <w:pPr>
        <w:ind w:right="124"/>
        <w:rPr>
          <w:color w:val="auto"/>
        </w:rPr>
      </w:pPr>
      <w:r w:rsidRPr="009231B4">
        <w:rPr>
          <w:color w:val="auto"/>
        </w:rPr>
        <w:t>In the case of looked-after children or</w:t>
      </w:r>
      <w:r w:rsidRPr="009231B4">
        <w:rPr>
          <w:color w:val="auto"/>
        </w:rPr>
        <w:t xml:space="preserve"> those in care, agreements may already be in place for information to be shared with the relevant authorities (for example, the Local Authority). The centre's Data Protection Officer will confirm the status of these agreements and approve/reject any reques</w:t>
      </w:r>
      <w:r w:rsidRPr="009231B4">
        <w:rPr>
          <w:color w:val="auto"/>
        </w:rPr>
        <w:t xml:space="preserve">ts.    </w:t>
      </w:r>
    </w:p>
    <w:p w14:paraId="7B90175D" w14:textId="77777777" w:rsidR="00D14D27" w:rsidRPr="009231B4" w:rsidRDefault="00D74919">
      <w:pPr>
        <w:spacing w:after="140" w:line="259" w:lineRule="auto"/>
        <w:ind w:firstLine="0"/>
        <w:rPr>
          <w:color w:val="auto"/>
        </w:rPr>
      </w:pPr>
      <w:r w:rsidRPr="009231B4">
        <w:rPr>
          <w:rFonts w:ascii="Rockwell" w:eastAsia="Rockwell" w:hAnsi="Rockwell" w:cs="Rockwell"/>
          <w:color w:val="auto"/>
          <w:sz w:val="24"/>
        </w:rPr>
        <w:t xml:space="preserve"> </w:t>
      </w:r>
    </w:p>
    <w:p w14:paraId="61DD3435" w14:textId="77777777" w:rsidR="00D14D27" w:rsidRPr="009231B4" w:rsidRDefault="00D74919">
      <w:pPr>
        <w:spacing w:after="132" w:line="259" w:lineRule="auto"/>
        <w:ind w:firstLine="0"/>
        <w:rPr>
          <w:color w:val="auto"/>
        </w:rPr>
      </w:pPr>
      <w:r w:rsidRPr="009231B4">
        <w:rPr>
          <w:rFonts w:ascii="Rockwell" w:eastAsia="Rockwell" w:hAnsi="Rockwell" w:cs="Rockwell"/>
          <w:color w:val="auto"/>
          <w:sz w:val="24"/>
        </w:rPr>
        <w:t xml:space="preserve"> </w:t>
      </w:r>
    </w:p>
    <w:p w14:paraId="7E28C4F8" w14:textId="77777777" w:rsidR="00D14D27" w:rsidRPr="009231B4" w:rsidRDefault="00D74919">
      <w:pPr>
        <w:spacing w:after="144" w:line="259" w:lineRule="auto"/>
        <w:ind w:firstLine="0"/>
        <w:rPr>
          <w:color w:val="auto"/>
        </w:rPr>
      </w:pPr>
      <w:r w:rsidRPr="009231B4">
        <w:rPr>
          <w:rFonts w:ascii="Verdana" w:eastAsia="Verdana" w:hAnsi="Verdana" w:cs="Verdana"/>
          <w:color w:val="auto"/>
        </w:rPr>
        <w:t xml:space="preserve"> </w:t>
      </w:r>
    </w:p>
    <w:p w14:paraId="7D1957A0" w14:textId="77777777" w:rsidR="00D14D27" w:rsidRPr="009231B4" w:rsidRDefault="00D74919">
      <w:pPr>
        <w:spacing w:after="0" w:line="259" w:lineRule="auto"/>
        <w:ind w:firstLine="0"/>
        <w:rPr>
          <w:color w:val="auto"/>
        </w:rPr>
      </w:pPr>
      <w:r w:rsidRPr="009231B4">
        <w:rPr>
          <w:rFonts w:ascii="Rockwell" w:eastAsia="Rockwell" w:hAnsi="Rockwell" w:cs="Rockwell"/>
          <w:color w:val="auto"/>
          <w:sz w:val="24"/>
        </w:rPr>
        <w:t xml:space="preserve"> </w:t>
      </w:r>
    </w:p>
    <w:p w14:paraId="504386F1" w14:textId="77777777" w:rsidR="00D14D27" w:rsidRPr="009231B4" w:rsidRDefault="00D14D27">
      <w:pPr>
        <w:rPr>
          <w:color w:val="auto"/>
        </w:rPr>
        <w:sectPr w:rsidR="00D14D27" w:rsidRPr="009231B4">
          <w:footerReference w:type="even" r:id="rId13"/>
          <w:footerReference w:type="default" r:id="rId14"/>
          <w:footerReference w:type="first" r:id="rId15"/>
          <w:pgSz w:w="11906" w:h="16838"/>
          <w:pgMar w:top="772" w:right="817" w:bottom="553" w:left="1079" w:header="720" w:footer="720" w:gutter="0"/>
          <w:cols w:space="720"/>
          <w:titlePg/>
        </w:sectPr>
      </w:pPr>
    </w:p>
    <w:p w14:paraId="499CA218" w14:textId="77777777" w:rsidR="00D14D27" w:rsidRPr="009231B4" w:rsidRDefault="00D74919">
      <w:pPr>
        <w:pStyle w:val="Heading1"/>
        <w:ind w:left="10"/>
        <w:rPr>
          <w:color w:val="auto"/>
        </w:rPr>
      </w:pPr>
      <w:r w:rsidRPr="009231B4">
        <w:rPr>
          <w:color w:val="auto"/>
        </w:rPr>
        <w:lastRenderedPageBreak/>
        <w:t xml:space="preserve">Section 8 – Table recording candidate exams-related information held </w:t>
      </w:r>
    </w:p>
    <w:p w14:paraId="190344B1" w14:textId="77777777" w:rsidR="00D14D27" w:rsidRPr="009231B4" w:rsidRDefault="00D74919">
      <w:pPr>
        <w:ind w:left="0" w:right="2"/>
        <w:rPr>
          <w:color w:val="auto"/>
        </w:rPr>
      </w:pPr>
      <w:r w:rsidRPr="009231B4">
        <w:rPr>
          <w:color w:val="auto"/>
        </w:rPr>
        <w:t>For details of how to request access to information held, refer to section 7 of this policy (</w:t>
      </w:r>
      <w:r w:rsidRPr="009231B4">
        <w:rPr>
          <w:b/>
          <w:color w:val="auto"/>
        </w:rPr>
        <w:t>Access to information</w:t>
      </w:r>
      <w:r w:rsidRPr="009231B4">
        <w:rPr>
          <w:color w:val="auto"/>
        </w:rPr>
        <w:t xml:space="preserve">) </w:t>
      </w:r>
    </w:p>
    <w:p w14:paraId="2D6F0934" w14:textId="77777777" w:rsidR="00D14D27" w:rsidRPr="009231B4" w:rsidRDefault="00D74919">
      <w:pPr>
        <w:spacing w:after="10"/>
        <w:ind w:left="0" w:right="2"/>
        <w:rPr>
          <w:color w:val="auto"/>
        </w:rPr>
      </w:pPr>
      <w:r w:rsidRPr="009231B4">
        <w:rPr>
          <w:color w:val="auto"/>
        </w:rPr>
        <w:t>For further details of how long information is held, refer to section 6 of this policy (</w:t>
      </w:r>
      <w:r w:rsidRPr="009231B4">
        <w:rPr>
          <w:b/>
          <w:color w:val="auto"/>
        </w:rPr>
        <w:t>Data retention periods</w:t>
      </w:r>
      <w:r w:rsidRPr="009231B4">
        <w:rPr>
          <w:color w:val="auto"/>
        </w:rPr>
        <w:t xml:space="preserve">) </w:t>
      </w:r>
    </w:p>
    <w:tbl>
      <w:tblPr>
        <w:tblStyle w:val="TableGrid"/>
        <w:tblW w:w="15019" w:type="dxa"/>
        <w:tblInd w:w="6" w:type="dxa"/>
        <w:tblCellMar>
          <w:top w:w="168" w:type="dxa"/>
          <w:left w:w="107" w:type="dxa"/>
          <w:bottom w:w="0" w:type="dxa"/>
          <w:right w:w="59" w:type="dxa"/>
        </w:tblCellMar>
        <w:tblLook w:val="04A0" w:firstRow="1" w:lastRow="0" w:firstColumn="1" w:lastColumn="0" w:noHBand="0" w:noVBand="1"/>
      </w:tblPr>
      <w:tblGrid>
        <w:gridCol w:w="2688"/>
        <w:gridCol w:w="2551"/>
        <w:gridCol w:w="3685"/>
        <w:gridCol w:w="2410"/>
        <w:gridCol w:w="1985"/>
        <w:gridCol w:w="1700"/>
      </w:tblGrid>
      <w:tr w:rsidR="009231B4" w:rsidRPr="009231B4" w14:paraId="316DC095" w14:textId="77777777">
        <w:trPr>
          <w:trHeight w:val="683"/>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C0CDA2" w14:textId="77777777" w:rsidR="00D14D27" w:rsidRPr="009231B4" w:rsidRDefault="00D74919">
            <w:pPr>
              <w:spacing w:after="0" w:line="259" w:lineRule="auto"/>
              <w:ind w:left="0" w:right="54" w:firstLine="0"/>
              <w:jc w:val="center"/>
              <w:rPr>
                <w:color w:val="auto"/>
              </w:rPr>
            </w:pPr>
            <w:r w:rsidRPr="009231B4">
              <w:rPr>
                <w:color w:val="auto"/>
                <w:sz w:val="18"/>
              </w:rPr>
              <w:t xml:space="preserve">Information type </w:t>
            </w: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9D8D1A" w14:textId="77777777" w:rsidR="00D14D27" w:rsidRPr="009231B4" w:rsidRDefault="00D74919">
            <w:pPr>
              <w:spacing w:after="0" w:line="259" w:lineRule="auto"/>
              <w:ind w:left="0" w:right="53" w:firstLine="0"/>
              <w:jc w:val="center"/>
              <w:rPr>
                <w:color w:val="auto"/>
              </w:rPr>
            </w:pPr>
            <w:r w:rsidRPr="009231B4">
              <w:rPr>
                <w:color w:val="auto"/>
                <w:sz w:val="18"/>
              </w:rPr>
              <w:t xml:space="preserve">Information description </w:t>
            </w:r>
          </w:p>
          <w:p w14:paraId="693B02B2" w14:textId="77777777" w:rsidR="00D14D27" w:rsidRPr="009231B4" w:rsidRDefault="00D74919">
            <w:pPr>
              <w:spacing w:after="0" w:line="259" w:lineRule="auto"/>
              <w:ind w:left="0" w:right="50" w:firstLine="0"/>
              <w:jc w:val="center"/>
              <w:rPr>
                <w:color w:val="auto"/>
              </w:rPr>
            </w:pPr>
            <w:r w:rsidRPr="009231B4">
              <w:rPr>
                <w:color w:val="auto"/>
                <w:sz w:val="15"/>
              </w:rPr>
              <w:t>(</w:t>
            </w:r>
            <w:proofErr w:type="gramStart"/>
            <w:r w:rsidRPr="009231B4">
              <w:rPr>
                <w:color w:val="auto"/>
                <w:sz w:val="15"/>
              </w:rPr>
              <w:t>where</w:t>
            </w:r>
            <w:proofErr w:type="gramEnd"/>
            <w:r w:rsidRPr="009231B4">
              <w:rPr>
                <w:color w:val="auto"/>
                <w:sz w:val="15"/>
              </w:rPr>
              <w:t xml:space="preserve"> required)</w:t>
            </w:r>
            <w:r w:rsidRPr="009231B4">
              <w:rPr>
                <w:color w:val="auto"/>
                <w:sz w:val="18"/>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E36838" w14:textId="77777777" w:rsidR="00D14D27" w:rsidRPr="009231B4" w:rsidRDefault="00D74919">
            <w:pPr>
              <w:spacing w:after="0" w:line="259" w:lineRule="auto"/>
              <w:ind w:left="0" w:firstLine="0"/>
              <w:jc w:val="center"/>
              <w:rPr>
                <w:color w:val="auto"/>
              </w:rPr>
            </w:pPr>
            <w:r w:rsidRPr="009231B4">
              <w:rPr>
                <w:color w:val="auto"/>
                <w:sz w:val="18"/>
              </w:rPr>
              <w:t xml:space="preserve">What personal/sensitive data is/may be contained in the information </w:t>
            </w:r>
          </w:p>
        </w:tc>
        <w:tc>
          <w:tcPr>
            <w:tcW w:w="24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21E1FF" w14:textId="77777777" w:rsidR="00D14D27" w:rsidRPr="009231B4" w:rsidRDefault="00D74919">
            <w:pPr>
              <w:spacing w:after="0" w:line="259" w:lineRule="auto"/>
              <w:ind w:left="18" w:right="11" w:firstLine="0"/>
              <w:jc w:val="center"/>
              <w:rPr>
                <w:color w:val="auto"/>
              </w:rPr>
            </w:pPr>
            <w:r w:rsidRPr="009231B4">
              <w:rPr>
                <w:color w:val="auto"/>
                <w:sz w:val="18"/>
              </w:rPr>
              <w:t xml:space="preserve">Where information is stored  </w:t>
            </w:r>
          </w:p>
        </w:tc>
        <w:tc>
          <w:tcPr>
            <w:tcW w:w="19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E7A936" w14:textId="77777777" w:rsidR="00D14D27" w:rsidRPr="009231B4" w:rsidRDefault="00D74919">
            <w:pPr>
              <w:spacing w:after="0" w:line="259" w:lineRule="auto"/>
              <w:ind w:left="0" w:firstLine="0"/>
              <w:jc w:val="center"/>
              <w:rPr>
                <w:color w:val="auto"/>
              </w:rPr>
            </w:pPr>
            <w:r w:rsidRPr="009231B4">
              <w:rPr>
                <w:color w:val="auto"/>
                <w:sz w:val="18"/>
              </w:rPr>
              <w:t xml:space="preserve">How information is protected </w:t>
            </w:r>
          </w:p>
        </w:tc>
        <w:tc>
          <w:tcPr>
            <w:tcW w:w="17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535196" w14:textId="77777777" w:rsidR="00D14D27" w:rsidRPr="009231B4" w:rsidRDefault="00D74919">
            <w:pPr>
              <w:spacing w:after="0" w:line="259" w:lineRule="auto"/>
              <w:ind w:left="0" w:right="48" w:firstLine="0"/>
              <w:jc w:val="center"/>
              <w:rPr>
                <w:color w:val="auto"/>
              </w:rPr>
            </w:pPr>
            <w:r w:rsidRPr="009231B4">
              <w:rPr>
                <w:color w:val="auto"/>
                <w:sz w:val="18"/>
              </w:rPr>
              <w:t xml:space="preserve">Retention period </w:t>
            </w:r>
          </w:p>
        </w:tc>
      </w:tr>
      <w:tr w:rsidR="009231B4" w:rsidRPr="009231B4" w14:paraId="30D2AD39" w14:textId="77777777">
        <w:trPr>
          <w:trHeight w:val="2782"/>
        </w:trPr>
        <w:tc>
          <w:tcPr>
            <w:tcW w:w="2688" w:type="dxa"/>
            <w:tcBorders>
              <w:top w:val="single" w:sz="4" w:space="0" w:color="000000"/>
              <w:left w:val="single" w:sz="4" w:space="0" w:color="000000"/>
              <w:bottom w:val="single" w:sz="4" w:space="0" w:color="000000"/>
              <w:right w:val="single" w:sz="4" w:space="0" w:color="000000"/>
            </w:tcBorders>
            <w:shd w:val="clear" w:color="auto" w:fill="F2F2F2"/>
          </w:tcPr>
          <w:p w14:paraId="5A81ECD8" w14:textId="77777777" w:rsidR="00D14D27" w:rsidRPr="009231B4" w:rsidRDefault="00D74919">
            <w:pPr>
              <w:spacing w:after="0" w:line="259" w:lineRule="auto"/>
              <w:ind w:left="0" w:firstLine="0"/>
              <w:rPr>
                <w:color w:val="auto"/>
              </w:rPr>
            </w:pPr>
            <w:r w:rsidRPr="009231B4">
              <w:rPr>
                <w:color w:val="auto"/>
                <w:sz w:val="20"/>
              </w:rPr>
              <w:t xml:space="preserve">Access arrangements information </w:t>
            </w:r>
          </w:p>
        </w:tc>
        <w:tc>
          <w:tcPr>
            <w:tcW w:w="2551" w:type="dxa"/>
            <w:tcBorders>
              <w:top w:val="single" w:sz="4" w:space="0" w:color="000000"/>
              <w:left w:val="single" w:sz="4" w:space="0" w:color="000000"/>
              <w:bottom w:val="single" w:sz="4" w:space="0" w:color="000000"/>
              <w:right w:val="single" w:sz="4" w:space="0" w:color="000000"/>
            </w:tcBorders>
          </w:tcPr>
          <w:p w14:paraId="4567F6B5" w14:textId="77777777" w:rsidR="00D14D27" w:rsidRPr="009231B4" w:rsidRDefault="00D74919">
            <w:pPr>
              <w:spacing w:after="0" w:line="259" w:lineRule="auto"/>
              <w:ind w:left="0" w:firstLine="0"/>
              <w:rPr>
                <w:color w:val="auto"/>
              </w:rPr>
            </w:pPr>
            <w:r w:rsidRPr="009231B4">
              <w:rPr>
                <w:color w:val="auto"/>
                <w:sz w:val="20"/>
              </w:rPr>
              <w:t xml:space="preserve"> </w:t>
            </w:r>
            <w:r w:rsidRPr="009231B4">
              <w:rPr>
                <w:b/>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4070483C" w14:textId="77777777" w:rsidR="00D14D27" w:rsidRPr="009231B4" w:rsidRDefault="00D74919">
            <w:pPr>
              <w:spacing w:after="101" w:line="259" w:lineRule="auto"/>
              <w:ind w:left="0" w:firstLine="0"/>
              <w:rPr>
                <w:color w:val="auto"/>
              </w:rPr>
            </w:pPr>
            <w:r w:rsidRPr="009231B4">
              <w:rPr>
                <w:color w:val="auto"/>
                <w:sz w:val="20"/>
              </w:rPr>
              <w:t xml:space="preserve">Candidate name </w:t>
            </w:r>
          </w:p>
          <w:p w14:paraId="2E8FEE67" w14:textId="77777777" w:rsidR="00D14D27" w:rsidRPr="009231B4" w:rsidRDefault="00D74919">
            <w:pPr>
              <w:spacing w:after="98" w:line="259" w:lineRule="auto"/>
              <w:ind w:left="0" w:firstLine="0"/>
              <w:rPr>
                <w:color w:val="auto"/>
              </w:rPr>
            </w:pPr>
            <w:r w:rsidRPr="009231B4">
              <w:rPr>
                <w:color w:val="auto"/>
                <w:sz w:val="20"/>
              </w:rPr>
              <w:t xml:space="preserve">Candidate DOB </w:t>
            </w:r>
          </w:p>
          <w:p w14:paraId="62B9BFA1" w14:textId="77777777" w:rsidR="00D14D27" w:rsidRPr="009231B4" w:rsidRDefault="00D74919">
            <w:pPr>
              <w:spacing w:after="101" w:line="259" w:lineRule="auto"/>
              <w:ind w:left="0" w:firstLine="0"/>
              <w:rPr>
                <w:color w:val="auto"/>
              </w:rPr>
            </w:pPr>
            <w:r w:rsidRPr="009231B4">
              <w:rPr>
                <w:color w:val="auto"/>
                <w:sz w:val="20"/>
              </w:rPr>
              <w:t xml:space="preserve">Gender </w:t>
            </w:r>
          </w:p>
          <w:p w14:paraId="0AF97801" w14:textId="77777777" w:rsidR="00D14D27" w:rsidRPr="009231B4" w:rsidRDefault="00D74919">
            <w:pPr>
              <w:spacing w:after="98" w:line="259" w:lineRule="auto"/>
              <w:ind w:left="0" w:firstLine="0"/>
              <w:rPr>
                <w:color w:val="auto"/>
              </w:rPr>
            </w:pPr>
            <w:r w:rsidRPr="009231B4">
              <w:rPr>
                <w:color w:val="auto"/>
                <w:sz w:val="20"/>
              </w:rPr>
              <w:t xml:space="preserve">Diagnostic testing outcome(s) </w:t>
            </w:r>
          </w:p>
          <w:p w14:paraId="1F7D8326" w14:textId="77777777" w:rsidR="00D14D27" w:rsidRPr="009231B4" w:rsidRDefault="00D74919">
            <w:pPr>
              <w:spacing w:after="120" w:line="240" w:lineRule="auto"/>
              <w:ind w:left="0" w:firstLine="0"/>
              <w:rPr>
                <w:color w:val="auto"/>
              </w:rPr>
            </w:pPr>
            <w:r w:rsidRPr="009231B4">
              <w:rPr>
                <w:color w:val="auto"/>
                <w:sz w:val="20"/>
              </w:rPr>
              <w:t xml:space="preserve">Specialist report(s) (may also include candidate address) </w:t>
            </w:r>
          </w:p>
          <w:p w14:paraId="2D1D18E8" w14:textId="77777777" w:rsidR="00D14D27" w:rsidRPr="009231B4" w:rsidRDefault="00D74919">
            <w:pPr>
              <w:spacing w:after="0" w:line="259" w:lineRule="auto"/>
              <w:ind w:left="0" w:firstLine="0"/>
              <w:rPr>
                <w:color w:val="auto"/>
              </w:rPr>
            </w:pPr>
            <w:r w:rsidRPr="009231B4">
              <w:rPr>
                <w:color w:val="auto"/>
                <w:sz w:val="20"/>
              </w:rPr>
              <w:t>Evidence of normal way of working</w:t>
            </w:r>
            <w:r w:rsidRPr="009231B4">
              <w:rPr>
                <w:b/>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5051366D" w14:textId="77777777" w:rsidR="00D14D27" w:rsidRPr="009231B4" w:rsidRDefault="00D74919">
            <w:pPr>
              <w:spacing w:after="0" w:line="259" w:lineRule="auto"/>
              <w:ind w:left="1" w:firstLine="0"/>
              <w:rPr>
                <w:color w:val="auto"/>
              </w:rPr>
            </w:pPr>
            <w:r w:rsidRPr="009231B4">
              <w:rPr>
                <w:color w:val="auto"/>
                <w:sz w:val="20"/>
              </w:rPr>
              <w:t xml:space="preserve">Access Arrangements </w:t>
            </w:r>
          </w:p>
          <w:p w14:paraId="56A1CBA3" w14:textId="77777777" w:rsidR="00D14D27" w:rsidRPr="009231B4" w:rsidRDefault="00D74919">
            <w:pPr>
              <w:spacing w:after="98" w:line="259" w:lineRule="auto"/>
              <w:ind w:left="1" w:firstLine="0"/>
              <w:rPr>
                <w:color w:val="auto"/>
              </w:rPr>
            </w:pPr>
            <w:r w:rsidRPr="009231B4">
              <w:rPr>
                <w:color w:val="auto"/>
                <w:sz w:val="20"/>
              </w:rPr>
              <w:t xml:space="preserve">Online </w:t>
            </w:r>
          </w:p>
          <w:p w14:paraId="180E1677" w14:textId="77777777" w:rsidR="00D14D27" w:rsidRPr="009231B4" w:rsidRDefault="00D74919">
            <w:pPr>
              <w:spacing w:after="101" w:line="259" w:lineRule="auto"/>
              <w:ind w:left="1" w:firstLine="0"/>
              <w:rPr>
                <w:color w:val="auto"/>
              </w:rPr>
            </w:pPr>
            <w:r w:rsidRPr="009231B4">
              <w:rPr>
                <w:color w:val="auto"/>
                <w:sz w:val="20"/>
              </w:rPr>
              <w:t xml:space="preserve">MIS </w:t>
            </w:r>
          </w:p>
          <w:p w14:paraId="6F809C6F" w14:textId="77777777" w:rsidR="00D14D27" w:rsidRPr="009231B4" w:rsidRDefault="00D74919">
            <w:pPr>
              <w:spacing w:after="118" w:line="240" w:lineRule="auto"/>
              <w:ind w:left="1" w:firstLine="0"/>
              <w:rPr>
                <w:color w:val="auto"/>
              </w:rPr>
            </w:pPr>
            <w:r w:rsidRPr="009231B4">
              <w:rPr>
                <w:color w:val="auto"/>
                <w:sz w:val="20"/>
              </w:rPr>
              <w:t xml:space="preserve">Lockable metal filing cabinet </w:t>
            </w:r>
          </w:p>
          <w:p w14:paraId="33FE39EC" w14:textId="77777777" w:rsidR="00D14D27" w:rsidRPr="009231B4" w:rsidRDefault="00D74919">
            <w:pPr>
              <w:spacing w:after="101" w:line="259" w:lineRule="auto"/>
              <w:ind w:left="1" w:firstLine="0"/>
              <w:rPr>
                <w:color w:val="auto"/>
              </w:rPr>
            </w:pPr>
            <w:r w:rsidRPr="009231B4">
              <w:rPr>
                <w:color w:val="auto"/>
                <w:sz w:val="20"/>
              </w:rPr>
              <w:t xml:space="preserve">  </w:t>
            </w:r>
          </w:p>
          <w:p w14:paraId="3B00E648" w14:textId="77777777" w:rsidR="00D14D27" w:rsidRPr="009231B4" w:rsidRDefault="00D74919">
            <w:pPr>
              <w:spacing w:after="98" w:line="259" w:lineRule="auto"/>
              <w:ind w:left="1" w:firstLine="0"/>
              <w:rPr>
                <w:color w:val="auto"/>
              </w:rPr>
            </w:pPr>
            <w:r w:rsidRPr="009231B4">
              <w:rPr>
                <w:color w:val="auto"/>
                <w:sz w:val="20"/>
              </w:rPr>
              <w:t xml:space="preserve"> </w:t>
            </w:r>
          </w:p>
          <w:p w14:paraId="2C8F1FF0" w14:textId="77777777" w:rsidR="00D14D27" w:rsidRPr="009231B4" w:rsidRDefault="00D74919">
            <w:pPr>
              <w:spacing w:after="0" w:line="259" w:lineRule="auto"/>
              <w:ind w:left="1" w:firstLine="0"/>
              <w:rPr>
                <w:color w:val="auto"/>
              </w:rPr>
            </w:pPr>
            <w:r w:rsidRPr="009231B4">
              <w:rPr>
                <w:b/>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9C9147B" w14:textId="77777777" w:rsidR="00D14D27" w:rsidRPr="009231B4" w:rsidRDefault="00D74919">
            <w:pPr>
              <w:spacing w:after="121" w:line="239" w:lineRule="auto"/>
              <w:ind w:left="1" w:right="45" w:firstLine="0"/>
              <w:rPr>
                <w:color w:val="auto"/>
              </w:rPr>
            </w:pPr>
            <w:r w:rsidRPr="009231B4">
              <w:rPr>
                <w:color w:val="auto"/>
                <w:sz w:val="20"/>
              </w:rPr>
              <w:t xml:space="preserve">MFA; Secure user name and password  </w:t>
            </w:r>
          </w:p>
          <w:p w14:paraId="02236171" w14:textId="77777777" w:rsidR="00D14D27" w:rsidRPr="009231B4" w:rsidRDefault="00D74919">
            <w:pPr>
              <w:spacing w:after="98" w:line="259" w:lineRule="auto"/>
              <w:ind w:left="1" w:firstLine="0"/>
              <w:rPr>
                <w:color w:val="auto"/>
              </w:rPr>
            </w:pPr>
            <w:r w:rsidRPr="009231B4">
              <w:rPr>
                <w:color w:val="auto"/>
                <w:sz w:val="20"/>
              </w:rPr>
              <w:t xml:space="preserve">[insert] </w:t>
            </w:r>
          </w:p>
          <w:p w14:paraId="225DECB7" w14:textId="77777777" w:rsidR="00D14D27" w:rsidRPr="009231B4" w:rsidRDefault="00D74919">
            <w:pPr>
              <w:spacing w:after="0" w:line="259" w:lineRule="auto"/>
              <w:ind w:left="1" w:firstLine="0"/>
              <w:rPr>
                <w:color w:val="auto"/>
              </w:rPr>
            </w:pPr>
            <w:r w:rsidRPr="009231B4">
              <w:rPr>
                <w:color w:val="auto"/>
                <w:sz w:val="20"/>
              </w:rPr>
              <w:t xml:space="preserve">In secure office </w:t>
            </w:r>
          </w:p>
          <w:p w14:paraId="084EF8F6" w14:textId="77777777" w:rsidR="00D14D27" w:rsidRPr="009231B4" w:rsidRDefault="00D74919">
            <w:pPr>
              <w:spacing w:after="0" w:line="259" w:lineRule="auto"/>
              <w:ind w:left="1" w:firstLine="0"/>
              <w:rPr>
                <w:color w:val="auto"/>
              </w:rPr>
            </w:pPr>
            <w:r w:rsidRPr="009231B4">
              <w:rPr>
                <w:color w:val="auto"/>
                <w:sz w:val="20"/>
              </w:rPr>
              <w:t>(SENCo)</w:t>
            </w:r>
            <w:r w:rsidRPr="009231B4">
              <w:rPr>
                <w:b/>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8B19CA1" w14:textId="77777777" w:rsidR="00D14D27" w:rsidRPr="009231B4" w:rsidRDefault="00D74919">
            <w:pPr>
              <w:spacing w:after="0" w:line="259" w:lineRule="auto"/>
              <w:ind w:left="1" w:firstLine="0"/>
              <w:rPr>
                <w:color w:val="auto"/>
              </w:rPr>
            </w:pPr>
            <w:r w:rsidRPr="009231B4">
              <w:rPr>
                <w:b/>
                <w:color w:val="auto"/>
                <w:sz w:val="20"/>
              </w:rPr>
              <w:t xml:space="preserve"> </w:t>
            </w:r>
          </w:p>
        </w:tc>
      </w:tr>
      <w:tr w:rsidR="009231B4" w:rsidRPr="009231B4" w14:paraId="7433A2F6" w14:textId="77777777">
        <w:trPr>
          <w:trHeight w:val="732"/>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4C2A4B" w14:textId="77777777" w:rsidR="00D14D27" w:rsidRPr="009231B4" w:rsidRDefault="00D74919">
            <w:pPr>
              <w:spacing w:after="0" w:line="259" w:lineRule="auto"/>
              <w:ind w:left="0" w:firstLine="0"/>
              <w:rPr>
                <w:color w:val="auto"/>
              </w:rPr>
            </w:pPr>
            <w:r w:rsidRPr="009231B4">
              <w:rPr>
                <w:color w:val="auto"/>
                <w:sz w:val="20"/>
              </w:rPr>
              <w:t xml:space="preserve">Alternative site arrangements </w:t>
            </w:r>
          </w:p>
        </w:tc>
        <w:tc>
          <w:tcPr>
            <w:tcW w:w="2551" w:type="dxa"/>
            <w:tcBorders>
              <w:top w:val="single" w:sz="4" w:space="0" w:color="000000"/>
              <w:left w:val="single" w:sz="4" w:space="0" w:color="000000"/>
              <w:bottom w:val="single" w:sz="4" w:space="0" w:color="000000"/>
              <w:right w:val="single" w:sz="4" w:space="0" w:color="000000"/>
            </w:tcBorders>
          </w:tcPr>
          <w:p w14:paraId="0DFF36C5"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12E4EDE6"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3874B39"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85DAC2A"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2CA294CF" w14:textId="77777777" w:rsidR="00D14D27" w:rsidRPr="009231B4" w:rsidRDefault="00D74919">
            <w:pPr>
              <w:spacing w:after="0" w:line="259" w:lineRule="auto"/>
              <w:ind w:left="1" w:firstLine="0"/>
              <w:rPr>
                <w:color w:val="auto"/>
              </w:rPr>
            </w:pPr>
            <w:r w:rsidRPr="009231B4">
              <w:rPr>
                <w:color w:val="auto"/>
                <w:sz w:val="20"/>
              </w:rPr>
              <w:t xml:space="preserve"> </w:t>
            </w:r>
          </w:p>
        </w:tc>
      </w:tr>
      <w:tr w:rsidR="009231B4" w:rsidRPr="009231B4" w14:paraId="74742794" w14:textId="77777777">
        <w:trPr>
          <w:trHeight w:val="638"/>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FFA86E" w14:textId="77777777" w:rsidR="00D14D27" w:rsidRPr="009231B4" w:rsidRDefault="00D74919">
            <w:pPr>
              <w:spacing w:after="0" w:line="259" w:lineRule="auto"/>
              <w:ind w:left="0" w:firstLine="0"/>
              <w:rPr>
                <w:color w:val="auto"/>
              </w:rPr>
            </w:pPr>
            <w:r w:rsidRPr="009231B4">
              <w:rPr>
                <w:color w:val="auto"/>
                <w:sz w:val="20"/>
              </w:rPr>
              <w:t xml:space="preserve">Attendance registers copies </w:t>
            </w:r>
          </w:p>
        </w:tc>
        <w:tc>
          <w:tcPr>
            <w:tcW w:w="2551" w:type="dxa"/>
            <w:tcBorders>
              <w:top w:val="single" w:sz="4" w:space="0" w:color="000000"/>
              <w:left w:val="single" w:sz="4" w:space="0" w:color="000000"/>
              <w:bottom w:val="single" w:sz="4" w:space="0" w:color="000000"/>
              <w:right w:val="single" w:sz="4" w:space="0" w:color="000000"/>
            </w:tcBorders>
            <w:vAlign w:val="center"/>
          </w:tcPr>
          <w:p w14:paraId="19ED87EA" w14:textId="77777777" w:rsidR="00D14D27" w:rsidRPr="009231B4" w:rsidRDefault="00D74919">
            <w:pPr>
              <w:spacing w:after="0" w:line="259" w:lineRule="auto"/>
              <w:ind w:left="0" w:firstLine="0"/>
              <w:rPr>
                <w:color w:val="auto"/>
              </w:rPr>
            </w:pPr>
            <w:r w:rsidRPr="009231B4">
              <w:rPr>
                <w:color w:val="auto"/>
                <w:sz w:val="20"/>
              </w:rPr>
              <w:t xml:space="preserve">  </w:t>
            </w:r>
            <w:r w:rsidRPr="009231B4">
              <w:rPr>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4883CA8A"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02FDE242" w14:textId="77777777" w:rsidR="00D14D27" w:rsidRPr="009231B4" w:rsidRDefault="00D74919">
            <w:pPr>
              <w:spacing w:after="0" w:line="259" w:lineRule="auto"/>
              <w:ind w:left="2" w:firstLine="0"/>
              <w:rPr>
                <w:color w:val="auto"/>
              </w:rPr>
            </w:pPr>
            <w:r w:rsidRPr="009231B4">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60DDB473" w14:textId="77777777" w:rsidR="00D14D27" w:rsidRPr="009231B4" w:rsidRDefault="00D74919">
            <w:pPr>
              <w:spacing w:after="0" w:line="259" w:lineRule="auto"/>
              <w:ind w:left="2"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4607BA5" w14:textId="77777777" w:rsidR="00D14D27" w:rsidRPr="009231B4" w:rsidRDefault="00D74919">
            <w:pPr>
              <w:spacing w:after="0" w:line="259" w:lineRule="auto"/>
              <w:ind w:left="2" w:firstLine="0"/>
              <w:rPr>
                <w:color w:val="auto"/>
              </w:rPr>
            </w:pPr>
            <w:r w:rsidRPr="009231B4">
              <w:rPr>
                <w:color w:val="auto"/>
                <w:sz w:val="20"/>
              </w:rPr>
              <w:t xml:space="preserve"> </w:t>
            </w:r>
          </w:p>
        </w:tc>
      </w:tr>
      <w:tr w:rsidR="009231B4" w:rsidRPr="009231B4" w14:paraId="13DFCFC8" w14:textId="77777777">
        <w:trPr>
          <w:trHeight w:val="491"/>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1F5346" w14:textId="77777777" w:rsidR="00D14D27" w:rsidRPr="009231B4" w:rsidRDefault="00D74919">
            <w:pPr>
              <w:spacing w:after="0" w:line="259" w:lineRule="auto"/>
              <w:ind w:left="0" w:firstLine="0"/>
              <w:rPr>
                <w:color w:val="auto"/>
              </w:rPr>
            </w:pPr>
            <w:r w:rsidRPr="009231B4">
              <w:rPr>
                <w:color w:val="auto"/>
                <w:sz w:val="20"/>
              </w:rPr>
              <w:t xml:space="preserve">Candidates’ scripts </w:t>
            </w:r>
          </w:p>
        </w:tc>
        <w:tc>
          <w:tcPr>
            <w:tcW w:w="2551" w:type="dxa"/>
            <w:tcBorders>
              <w:top w:val="single" w:sz="4" w:space="0" w:color="000000"/>
              <w:left w:val="single" w:sz="4" w:space="0" w:color="000000"/>
              <w:bottom w:val="single" w:sz="4" w:space="0" w:color="000000"/>
              <w:right w:val="single" w:sz="4" w:space="0" w:color="000000"/>
            </w:tcBorders>
            <w:vAlign w:val="center"/>
          </w:tcPr>
          <w:p w14:paraId="77CA7DAB"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2E43EFC6"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7F525312"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1449D912"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0194102" w14:textId="77777777" w:rsidR="00D14D27" w:rsidRPr="009231B4" w:rsidRDefault="00D74919">
            <w:pPr>
              <w:spacing w:after="0" w:line="259" w:lineRule="auto"/>
              <w:ind w:left="1" w:firstLine="0"/>
              <w:rPr>
                <w:color w:val="auto"/>
              </w:rPr>
            </w:pPr>
            <w:r w:rsidRPr="009231B4">
              <w:rPr>
                <w:color w:val="auto"/>
                <w:sz w:val="20"/>
              </w:rPr>
              <w:t xml:space="preserve"> </w:t>
            </w:r>
          </w:p>
        </w:tc>
      </w:tr>
      <w:tr w:rsidR="009231B4" w:rsidRPr="009231B4" w14:paraId="4B4C7205" w14:textId="77777777">
        <w:trPr>
          <w:trHeight w:val="491"/>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32EE6C" w14:textId="77777777" w:rsidR="00D14D27" w:rsidRPr="009231B4" w:rsidRDefault="00D74919">
            <w:pPr>
              <w:spacing w:after="0" w:line="259" w:lineRule="auto"/>
              <w:ind w:left="0" w:firstLine="0"/>
              <w:rPr>
                <w:color w:val="auto"/>
              </w:rPr>
            </w:pPr>
            <w:r w:rsidRPr="009231B4">
              <w:rPr>
                <w:color w:val="auto"/>
                <w:sz w:val="20"/>
              </w:rPr>
              <w:t xml:space="preserve">Candidates’ work  </w:t>
            </w:r>
          </w:p>
        </w:tc>
        <w:tc>
          <w:tcPr>
            <w:tcW w:w="2551" w:type="dxa"/>
            <w:tcBorders>
              <w:top w:val="single" w:sz="4" w:space="0" w:color="000000"/>
              <w:left w:val="single" w:sz="4" w:space="0" w:color="000000"/>
              <w:bottom w:val="single" w:sz="4" w:space="0" w:color="000000"/>
              <w:right w:val="single" w:sz="4" w:space="0" w:color="000000"/>
            </w:tcBorders>
            <w:vAlign w:val="center"/>
          </w:tcPr>
          <w:p w14:paraId="18F152A5"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7CFC3A43"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735410A0" w14:textId="77777777" w:rsidR="00D14D27" w:rsidRPr="009231B4" w:rsidRDefault="00D74919">
            <w:pPr>
              <w:spacing w:after="0" w:line="259" w:lineRule="auto"/>
              <w:ind w:left="1" w:firstLine="0"/>
              <w:rPr>
                <w:color w:val="auto"/>
              </w:rPr>
            </w:pPr>
            <w:r w:rsidRPr="009231B4">
              <w:rPr>
                <w:color w:val="auto"/>
                <w:sz w:val="20"/>
              </w:rPr>
              <w:t xml:space="preserve"> </w:t>
            </w:r>
            <w:r w:rsidRPr="009231B4">
              <w:rPr>
                <w:b/>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7B0EC6BA"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00EAD079" w14:textId="77777777" w:rsidR="00D14D27" w:rsidRPr="009231B4" w:rsidRDefault="00D74919">
            <w:pPr>
              <w:spacing w:after="0" w:line="259" w:lineRule="auto"/>
              <w:ind w:left="1" w:firstLine="0"/>
              <w:rPr>
                <w:color w:val="auto"/>
              </w:rPr>
            </w:pPr>
            <w:r w:rsidRPr="009231B4">
              <w:rPr>
                <w:color w:val="auto"/>
                <w:sz w:val="20"/>
              </w:rPr>
              <w:t xml:space="preserve"> </w:t>
            </w:r>
          </w:p>
        </w:tc>
      </w:tr>
      <w:tr w:rsidR="009231B4" w:rsidRPr="009231B4" w14:paraId="20693848" w14:textId="77777777">
        <w:trPr>
          <w:trHeight w:val="974"/>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BF0F45" w14:textId="77777777" w:rsidR="00D14D27" w:rsidRPr="009231B4" w:rsidRDefault="00D74919">
            <w:pPr>
              <w:spacing w:after="0" w:line="259" w:lineRule="auto"/>
              <w:ind w:left="0" w:firstLine="0"/>
              <w:rPr>
                <w:color w:val="auto"/>
              </w:rPr>
            </w:pPr>
            <w:r w:rsidRPr="009231B4">
              <w:rPr>
                <w:color w:val="auto"/>
                <w:sz w:val="20"/>
              </w:rPr>
              <w:t xml:space="preserve">Centre consortium arrangements for centre assessed work </w:t>
            </w:r>
          </w:p>
        </w:tc>
        <w:tc>
          <w:tcPr>
            <w:tcW w:w="2551" w:type="dxa"/>
            <w:tcBorders>
              <w:top w:val="single" w:sz="4" w:space="0" w:color="000000"/>
              <w:left w:val="single" w:sz="4" w:space="0" w:color="000000"/>
              <w:bottom w:val="single" w:sz="4" w:space="0" w:color="000000"/>
              <w:right w:val="single" w:sz="4" w:space="0" w:color="000000"/>
            </w:tcBorders>
          </w:tcPr>
          <w:p w14:paraId="12B9AD20"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78335D0B"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5856694"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9BD3812"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7B1CF17D" w14:textId="77777777" w:rsidR="00D14D27" w:rsidRPr="009231B4" w:rsidRDefault="00D74919">
            <w:pPr>
              <w:spacing w:after="0" w:line="259" w:lineRule="auto"/>
              <w:ind w:left="1" w:firstLine="0"/>
              <w:rPr>
                <w:color w:val="auto"/>
              </w:rPr>
            </w:pPr>
            <w:r w:rsidRPr="009231B4">
              <w:rPr>
                <w:color w:val="auto"/>
                <w:sz w:val="20"/>
              </w:rPr>
              <w:t xml:space="preserve"> </w:t>
            </w:r>
          </w:p>
        </w:tc>
      </w:tr>
      <w:tr w:rsidR="009231B4" w:rsidRPr="009231B4" w14:paraId="0339F414" w14:textId="77777777">
        <w:trPr>
          <w:trHeight w:val="492"/>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A0DCF9" w14:textId="77777777" w:rsidR="00D14D27" w:rsidRPr="009231B4" w:rsidRDefault="00D74919">
            <w:pPr>
              <w:spacing w:after="0" w:line="259" w:lineRule="auto"/>
              <w:ind w:left="0" w:firstLine="0"/>
              <w:rPr>
                <w:color w:val="auto"/>
              </w:rPr>
            </w:pPr>
            <w:r w:rsidRPr="009231B4">
              <w:rPr>
                <w:color w:val="auto"/>
                <w:sz w:val="20"/>
              </w:rPr>
              <w:lastRenderedPageBreak/>
              <w:t xml:space="preserve">Certificates </w:t>
            </w:r>
          </w:p>
        </w:tc>
        <w:tc>
          <w:tcPr>
            <w:tcW w:w="2551" w:type="dxa"/>
            <w:tcBorders>
              <w:top w:val="single" w:sz="4" w:space="0" w:color="000000"/>
              <w:left w:val="single" w:sz="4" w:space="0" w:color="000000"/>
              <w:bottom w:val="single" w:sz="4" w:space="0" w:color="000000"/>
              <w:right w:val="single" w:sz="4" w:space="0" w:color="000000"/>
            </w:tcBorders>
            <w:vAlign w:val="center"/>
          </w:tcPr>
          <w:p w14:paraId="594A2CD9" w14:textId="77777777" w:rsidR="00D14D27" w:rsidRPr="009231B4" w:rsidRDefault="00D74919">
            <w:pPr>
              <w:spacing w:after="0" w:line="259" w:lineRule="auto"/>
              <w:ind w:left="0" w:firstLine="0"/>
              <w:rPr>
                <w:color w:val="auto"/>
              </w:rPr>
            </w:pPr>
            <w:r w:rsidRPr="009231B4">
              <w:rPr>
                <w:color w:val="auto"/>
                <w:sz w:val="20"/>
              </w:rPr>
              <w:t xml:space="preserve">  </w:t>
            </w:r>
            <w:r w:rsidRPr="009231B4">
              <w:rPr>
                <w:b/>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0DA76C5C" w14:textId="77777777" w:rsidR="00D14D27" w:rsidRPr="009231B4" w:rsidRDefault="00D74919">
            <w:pPr>
              <w:spacing w:after="0" w:line="259" w:lineRule="auto"/>
              <w:ind w:left="0" w:firstLine="0"/>
              <w:rPr>
                <w:color w:val="auto"/>
              </w:rPr>
            </w:pPr>
            <w:r w:rsidRPr="009231B4">
              <w:rPr>
                <w:color w:val="auto"/>
                <w:sz w:val="20"/>
              </w:rPr>
              <w:t xml:space="preserve"> </w:t>
            </w:r>
            <w:r w:rsidRPr="009231B4">
              <w:rPr>
                <w:b/>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6AF4ABA2"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4769581E"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F6650E3" w14:textId="77777777" w:rsidR="00D14D27" w:rsidRPr="009231B4" w:rsidRDefault="00D74919">
            <w:pPr>
              <w:spacing w:after="0" w:line="259" w:lineRule="auto"/>
              <w:ind w:left="1" w:firstLine="0"/>
              <w:rPr>
                <w:color w:val="auto"/>
              </w:rPr>
            </w:pPr>
            <w:r w:rsidRPr="009231B4">
              <w:rPr>
                <w:color w:val="auto"/>
                <w:sz w:val="20"/>
              </w:rPr>
              <w:t xml:space="preserve"> </w:t>
            </w:r>
          </w:p>
        </w:tc>
      </w:tr>
      <w:tr w:rsidR="009231B4" w:rsidRPr="009231B4" w14:paraId="29D4152B" w14:textId="77777777">
        <w:trPr>
          <w:trHeight w:val="732"/>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554E0C" w14:textId="77777777" w:rsidR="00D14D27" w:rsidRPr="009231B4" w:rsidRDefault="00D74919">
            <w:pPr>
              <w:spacing w:after="0" w:line="259" w:lineRule="auto"/>
              <w:ind w:left="0" w:firstLine="0"/>
              <w:rPr>
                <w:color w:val="auto"/>
              </w:rPr>
            </w:pPr>
            <w:r w:rsidRPr="009231B4">
              <w:rPr>
                <w:color w:val="auto"/>
                <w:sz w:val="20"/>
              </w:rPr>
              <w:t xml:space="preserve">Certificate destruction information </w:t>
            </w:r>
          </w:p>
        </w:tc>
        <w:tc>
          <w:tcPr>
            <w:tcW w:w="2551" w:type="dxa"/>
            <w:tcBorders>
              <w:top w:val="single" w:sz="4" w:space="0" w:color="000000"/>
              <w:left w:val="single" w:sz="4" w:space="0" w:color="000000"/>
              <w:bottom w:val="single" w:sz="4" w:space="0" w:color="000000"/>
              <w:right w:val="single" w:sz="4" w:space="0" w:color="000000"/>
            </w:tcBorders>
          </w:tcPr>
          <w:p w14:paraId="20A017B4"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38BA09BE" w14:textId="77777777" w:rsidR="00D14D27" w:rsidRPr="009231B4" w:rsidRDefault="00D74919">
            <w:pPr>
              <w:spacing w:after="0" w:line="259" w:lineRule="auto"/>
              <w:ind w:left="0" w:firstLine="0"/>
              <w:rPr>
                <w:color w:val="auto"/>
              </w:rPr>
            </w:pPr>
            <w:r w:rsidRPr="009231B4">
              <w:rPr>
                <w:color w:val="auto"/>
                <w:sz w:val="20"/>
              </w:rPr>
              <w:t xml:space="preserve"> </w:t>
            </w: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4147E16"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135F772"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7E62A800" w14:textId="77777777" w:rsidR="00D14D27" w:rsidRPr="009231B4" w:rsidRDefault="00D74919">
            <w:pPr>
              <w:spacing w:after="0" w:line="259" w:lineRule="auto"/>
              <w:ind w:left="1" w:firstLine="0"/>
              <w:rPr>
                <w:color w:val="auto"/>
              </w:rPr>
            </w:pPr>
            <w:r w:rsidRPr="009231B4">
              <w:rPr>
                <w:color w:val="auto"/>
                <w:sz w:val="20"/>
              </w:rPr>
              <w:t xml:space="preserve"> </w:t>
            </w:r>
          </w:p>
        </w:tc>
      </w:tr>
      <w:tr w:rsidR="009231B4" w:rsidRPr="009231B4" w14:paraId="5E74C15E" w14:textId="77777777">
        <w:trPr>
          <w:trHeight w:val="491"/>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3CCE30" w14:textId="77777777" w:rsidR="00D14D27" w:rsidRPr="009231B4" w:rsidRDefault="00D74919">
            <w:pPr>
              <w:spacing w:after="0" w:line="259" w:lineRule="auto"/>
              <w:ind w:left="0" w:firstLine="0"/>
              <w:rPr>
                <w:color w:val="auto"/>
              </w:rPr>
            </w:pPr>
            <w:r w:rsidRPr="009231B4">
              <w:rPr>
                <w:color w:val="auto"/>
                <w:sz w:val="20"/>
              </w:rPr>
              <w:t xml:space="preserve">Certificate issue information </w:t>
            </w:r>
          </w:p>
        </w:tc>
        <w:tc>
          <w:tcPr>
            <w:tcW w:w="2551" w:type="dxa"/>
            <w:tcBorders>
              <w:top w:val="single" w:sz="4" w:space="0" w:color="000000"/>
              <w:left w:val="single" w:sz="4" w:space="0" w:color="000000"/>
              <w:bottom w:val="single" w:sz="4" w:space="0" w:color="000000"/>
              <w:right w:val="single" w:sz="4" w:space="0" w:color="000000"/>
            </w:tcBorders>
            <w:vAlign w:val="center"/>
          </w:tcPr>
          <w:p w14:paraId="5FBEF0C9"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3B2837B2"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10ED77FE" w14:textId="77777777" w:rsidR="00D14D27" w:rsidRPr="009231B4" w:rsidRDefault="00D74919">
            <w:pPr>
              <w:spacing w:after="0" w:line="259" w:lineRule="auto"/>
              <w:ind w:left="1" w:firstLine="0"/>
              <w:rPr>
                <w:color w:val="auto"/>
              </w:rPr>
            </w:pPr>
            <w:r w:rsidRPr="009231B4">
              <w:rPr>
                <w:b/>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0120F3F7" w14:textId="77777777" w:rsidR="00D14D27" w:rsidRPr="009231B4" w:rsidRDefault="00D74919">
            <w:pPr>
              <w:spacing w:after="0" w:line="259" w:lineRule="auto"/>
              <w:ind w:left="1" w:firstLine="0"/>
              <w:rPr>
                <w:color w:val="auto"/>
              </w:rPr>
            </w:pPr>
            <w:r w:rsidRPr="009231B4">
              <w:rPr>
                <w:b/>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683BF00B" w14:textId="77777777" w:rsidR="00D14D27" w:rsidRPr="009231B4" w:rsidRDefault="00D74919">
            <w:pPr>
              <w:spacing w:after="0" w:line="259" w:lineRule="auto"/>
              <w:ind w:left="1" w:firstLine="0"/>
              <w:rPr>
                <w:color w:val="auto"/>
              </w:rPr>
            </w:pPr>
            <w:r w:rsidRPr="009231B4">
              <w:rPr>
                <w:b/>
                <w:color w:val="auto"/>
                <w:sz w:val="20"/>
              </w:rPr>
              <w:t xml:space="preserve"> </w:t>
            </w:r>
          </w:p>
        </w:tc>
      </w:tr>
    </w:tbl>
    <w:p w14:paraId="402B239E" w14:textId="77777777" w:rsidR="00D14D27" w:rsidRPr="009231B4" w:rsidRDefault="00D14D27">
      <w:pPr>
        <w:spacing w:after="0" w:line="259" w:lineRule="auto"/>
        <w:ind w:left="-720" w:right="11859" w:firstLine="0"/>
        <w:rPr>
          <w:color w:val="auto"/>
        </w:rPr>
      </w:pPr>
    </w:p>
    <w:tbl>
      <w:tblPr>
        <w:tblStyle w:val="TableGrid"/>
        <w:tblW w:w="15019" w:type="dxa"/>
        <w:tblInd w:w="6" w:type="dxa"/>
        <w:tblCellMar>
          <w:top w:w="168" w:type="dxa"/>
          <w:left w:w="107" w:type="dxa"/>
          <w:bottom w:w="0" w:type="dxa"/>
          <w:right w:w="95" w:type="dxa"/>
        </w:tblCellMar>
        <w:tblLook w:val="04A0" w:firstRow="1" w:lastRow="0" w:firstColumn="1" w:lastColumn="0" w:noHBand="0" w:noVBand="1"/>
      </w:tblPr>
      <w:tblGrid>
        <w:gridCol w:w="2688"/>
        <w:gridCol w:w="2551"/>
        <w:gridCol w:w="3685"/>
        <w:gridCol w:w="2410"/>
        <w:gridCol w:w="1985"/>
        <w:gridCol w:w="1700"/>
      </w:tblGrid>
      <w:tr w:rsidR="009231B4" w:rsidRPr="009231B4" w14:paraId="009F7EA3" w14:textId="77777777">
        <w:trPr>
          <w:trHeight w:val="683"/>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023086" w14:textId="77777777" w:rsidR="00D14D27" w:rsidRPr="009231B4" w:rsidRDefault="00D74919">
            <w:pPr>
              <w:spacing w:after="0" w:line="259" w:lineRule="auto"/>
              <w:ind w:left="0" w:right="18" w:firstLine="0"/>
              <w:jc w:val="center"/>
              <w:rPr>
                <w:color w:val="auto"/>
              </w:rPr>
            </w:pPr>
            <w:r w:rsidRPr="009231B4">
              <w:rPr>
                <w:color w:val="auto"/>
                <w:sz w:val="18"/>
              </w:rPr>
              <w:t xml:space="preserve">Information type </w:t>
            </w: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0C7380" w14:textId="77777777" w:rsidR="00D14D27" w:rsidRPr="009231B4" w:rsidRDefault="00D74919">
            <w:pPr>
              <w:spacing w:after="0" w:line="259" w:lineRule="auto"/>
              <w:ind w:left="0" w:right="17" w:firstLine="0"/>
              <w:jc w:val="center"/>
              <w:rPr>
                <w:color w:val="auto"/>
              </w:rPr>
            </w:pPr>
            <w:r w:rsidRPr="009231B4">
              <w:rPr>
                <w:color w:val="auto"/>
                <w:sz w:val="18"/>
              </w:rPr>
              <w:t xml:space="preserve">Information description </w:t>
            </w:r>
          </w:p>
          <w:p w14:paraId="2DB7C1C7" w14:textId="77777777" w:rsidR="00D14D27" w:rsidRPr="009231B4" w:rsidRDefault="00D74919">
            <w:pPr>
              <w:spacing w:after="0" w:line="259" w:lineRule="auto"/>
              <w:ind w:left="0" w:right="14" w:firstLine="0"/>
              <w:jc w:val="center"/>
              <w:rPr>
                <w:color w:val="auto"/>
              </w:rPr>
            </w:pPr>
            <w:r w:rsidRPr="009231B4">
              <w:rPr>
                <w:color w:val="auto"/>
                <w:sz w:val="15"/>
              </w:rPr>
              <w:t>(</w:t>
            </w:r>
            <w:proofErr w:type="gramStart"/>
            <w:r w:rsidRPr="009231B4">
              <w:rPr>
                <w:color w:val="auto"/>
                <w:sz w:val="15"/>
              </w:rPr>
              <w:t>where</w:t>
            </w:r>
            <w:proofErr w:type="gramEnd"/>
            <w:r w:rsidRPr="009231B4">
              <w:rPr>
                <w:color w:val="auto"/>
                <w:sz w:val="15"/>
              </w:rPr>
              <w:t xml:space="preserve"> required)</w:t>
            </w:r>
            <w:r w:rsidRPr="009231B4">
              <w:rPr>
                <w:color w:val="auto"/>
                <w:sz w:val="18"/>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91C5AF" w14:textId="77777777" w:rsidR="00D14D27" w:rsidRPr="009231B4" w:rsidRDefault="00D74919">
            <w:pPr>
              <w:spacing w:after="0" w:line="259" w:lineRule="auto"/>
              <w:ind w:left="0" w:firstLine="0"/>
              <w:jc w:val="center"/>
              <w:rPr>
                <w:color w:val="auto"/>
              </w:rPr>
            </w:pPr>
            <w:r w:rsidRPr="009231B4">
              <w:rPr>
                <w:color w:val="auto"/>
                <w:sz w:val="18"/>
              </w:rPr>
              <w:t xml:space="preserve">What personal/sensitive data is/may be contained in the information </w:t>
            </w:r>
          </w:p>
        </w:tc>
        <w:tc>
          <w:tcPr>
            <w:tcW w:w="24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59B4F9" w14:textId="77777777" w:rsidR="00D14D27" w:rsidRPr="009231B4" w:rsidRDefault="00D74919">
            <w:pPr>
              <w:spacing w:after="0" w:line="259" w:lineRule="auto"/>
              <w:ind w:left="18" w:firstLine="0"/>
              <w:jc w:val="center"/>
              <w:rPr>
                <w:color w:val="auto"/>
              </w:rPr>
            </w:pPr>
            <w:r w:rsidRPr="009231B4">
              <w:rPr>
                <w:color w:val="auto"/>
                <w:sz w:val="18"/>
              </w:rPr>
              <w:t xml:space="preserve">Where information is stored  </w:t>
            </w:r>
          </w:p>
        </w:tc>
        <w:tc>
          <w:tcPr>
            <w:tcW w:w="19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808B98" w14:textId="77777777" w:rsidR="00D14D27" w:rsidRPr="009231B4" w:rsidRDefault="00D74919">
            <w:pPr>
              <w:spacing w:after="0" w:line="259" w:lineRule="auto"/>
              <w:ind w:left="0" w:firstLine="0"/>
              <w:jc w:val="center"/>
              <w:rPr>
                <w:color w:val="auto"/>
              </w:rPr>
            </w:pPr>
            <w:r w:rsidRPr="009231B4">
              <w:rPr>
                <w:color w:val="auto"/>
                <w:sz w:val="18"/>
              </w:rPr>
              <w:t xml:space="preserve">How information is protected </w:t>
            </w:r>
          </w:p>
        </w:tc>
        <w:tc>
          <w:tcPr>
            <w:tcW w:w="17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784FEF" w14:textId="77777777" w:rsidR="00D14D27" w:rsidRPr="009231B4" w:rsidRDefault="00D74919">
            <w:pPr>
              <w:spacing w:after="0" w:line="259" w:lineRule="auto"/>
              <w:ind w:left="0" w:right="12" w:firstLine="0"/>
              <w:jc w:val="center"/>
              <w:rPr>
                <w:color w:val="auto"/>
              </w:rPr>
            </w:pPr>
            <w:r w:rsidRPr="009231B4">
              <w:rPr>
                <w:color w:val="auto"/>
                <w:sz w:val="18"/>
              </w:rPr>
              <w:t xml:space="preserve">Retention period </w:t>
            </w:r>
          </w:p>
        </w:tc>
      </w:tr>
      <w:tr w:rsidR="009231B4" w:rsidRPr="009231B4" w14:paraId="688365A9" w14:textId="77777777">
        <w:trPr>
          <w:trHeight w:val="638"/>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C9DB9B" w14:textId="77777777" w:rsidR="00D14D27" w:rsidRPr="009231B4" w:rsidRDefault="00D74919">
            <w:pPr>
              <w:spacing w:after="0" w:line="259" w:lineRule="auto"/>
              <w:ind w:left="0" w:firstLine="0"/>
              <w:rPr>
                <w:color w:val="auto"/>
              </w:rPr>
            </w:pPr>
            <w:r w:rsidRPr="009231B4">
              <w:rPr>
                <w:color w:val="auto"/>
                <w:sz w:val="20"/>
              </w:rPr>
              <w:t xml:space="preserve">Conflicts of interest records </w:t>
            </w:r>
          </w:p>
        </w:tc>
        <w:tc>
          <w:tcPr>
            <w:tcW w:w="2551" w:type="dxa"/>
            <w:tcBorders>
              <w:top w:val="single" w:sz="4" w:space="0" w:color="000000"/>
              <w:left w:val="single" w:sz="4" w:space="0" w:color="000000"/>
              <w:bottom w:val="single" w:sz="4" w:space="0" w:color="000000"/>
              <w:right w:val="single" w:sz="4" w:space="0" w:color="000000"/>
            </w:tcBorders>
            <w:vAlign w:val="center"/>
          </w:tcPr>
          <w:p w14:paraId="37FA791D"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1F052E88"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24D6CC3C"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5F65CF72"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5FD42459" w14:textId="77777777" w:rsidR="00D14D27" w:rsidRPr="009231B4" w:rsidRDefault="00D74919">
            <w:pPr>
              <w:spacing w:after="0" w:line="259" w:lineRule="auto"/>
              <w:ind w:left="1" w:firstLine="0"/>
              <w:rPr>
                <w:color w:val="auto"/>
              </w:rPr>
            </w:pPr>
            <w:r w:rsidRPr="009231B4">
              <w:rPr>
                <w:color w:val="auto"/>
                <w:sz w:val="20"/>
              </w:rPr>
              <w:t xml:space="preserve"> </w:t>
            </w:r>
          </w:p>
        </w:tc>
      </w:tr>
      <w:tr w:rsidR="009231B4" w:rsidRPr="009231B4" w14:paraId="7DAA1D92" w14:textId="77777777">
        <w:trPr>
          <w:trHeight w:val="636"/>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E003DA" w14:textId="77777777" w:rsidR="00D14D27" w:rsidRPr="009231B4" w:rsidRDefault="00D74919">
            <w:pPr>
              <w:spacing w:after="0" w:line="259" w:lineRule="auto"/>
              <w:ind w:left="0" w:firstLine="0"/>
              <w:rPr>
                <w:color w:val="auto"/>
              </w:rPr>
            </w:pPr>
            <w:r w:rsidRPr="009231B4">
              <w:rPr>
                <w:color w:val="auto"/>
                <w:sz w:val="20"/>
              </w:rPr>
              <w:t xml:space="preserve">Entry information </w:t>
            </w:r>
          </w:p>
        </w:tc>
        <w:tc>
          <w:tcPr>
            <w:tcW w:w="2551" w:type="dxa"/>
            <w:tcBorders>
              <w:top w:val="single" w:sz="4" w:space="0" w:color="000000"/>
              <w:left w:val="single" w:sz="4" w:space="0" w:color="000000"/>
              <w:bottom w:val="single" w:sz="4" w:space="0" w:color="000000"/>
              <w:right w:val="single" w:sz="4" w:space="0" w:color="000000"/>
            </w:tcBorders>
            <w:vAlign w:val="center"/>
          </w:tcPr>
          <w:p w14:paraId="1400748D" w14:textId="77777777" w:rsidR="00D14D27" w:rsidRPr="009231B4" w:rsidRDefault="00D74919">
            <w:pPr>
              <w:spacing w:after="0" w:line="259" w:lineRule="auto"/>
              <w:ind w:left="0" w:firstLine="0"/>
              <w:rPr>
                <w:color w:val="auto"/>
              </w:rPr>
            </w:pPr>
            <w:r w:rsidRPr="009231B4">
              <w:rPr>
                <w:color w:val="auto"/>
                <w:sz w:val="20"/>
              </w:rPr>
              <w:t xml:space="preserve"> </w:t>
            </w:r>
            <w:r w:rsidRPr="009231B4">
              <w:rPr>
                <w:b/>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7083FB18" w14:textId="77777777" w:rsidR="00D14D27" w:rsidRPr="009231B4" w:rsidRDefault="00D74919">
            <w:pPr>
              <w:spacing w:after="0" w:line="259" w:lineRule="auto"/>
              <w:ind w:left="0" w:firstLine="0"/>
              <w:rPr>
                <w:color w:val="auto"/>
              </w:rPr>
            </w:pPr>
            <w:r w:rsidRPr="009231B4">
              <w:rPr>
                <w:color w:val="auto"/>
                <w:sz w:val="20"/>
              </w:rPr>
              <w:t xml:space="preserve"> </w:t>
            </w: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1244B890" w14:textId="77777777" w:rsidR="00D14D27" w:rsidRPr="009231B4" w:rsidRDefault="00D74919">
            <w:pPr>
              <w:spacing w:after="0" w:line="259" w:lineRule="auto"/>
              <w:ind w:left="1" w:firstLine="0"/>
              <w:rPr>
                <w:color w:val="auto"/>
              </w:rPr>
            </w:pPr>
            <w:r w:rsidRPr="009231B4">
              <w:rPr>
                <w:color w:val="auto"/>
                <w:sz w:val="20"/>
              </w:rPr>
              <w:t xml:space="preserve"> </w:t>
            </w:r>
            <w:r w:rsidRPr="009231B4">
              <w:rPr>
                <w:b/>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71693511"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6C25B553" w14:textId="77777777" w:rsidR="00D14D27" w:rsidRPr="009231B4" w:rsidRDefault="00D74919">
            <w:pPr>
              <w:spacing w:after="0" w:line="259" w:lineRule="auto"/>
              <w:ind w:left="1" w:firstLine="0"/>
              <w:rPr>
                <w:color w:val="auto"/>
              </w:rPr>
            </w:pPr>
            <w:r w:rsidRPr="009231B4">
              <w:rPr>
                <w:color w:val="auto"/>
                <w:sz w:val="20"/>
              </w:rPr>
              <w:t xml:space="preserve"> </w:t>
            </w:r>
          </w:p>
        </w:tc>
      </w:tr>
      <w:tr w:rsidR="009231B4" w:rsidRPr="009231B4" w14:paraId="44B23ABF" w14:textId="77777777">
        <w:trPr>
          <w:trHeight w:val="637"/>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3D63F4" w14:textId="77777777" w:rsidR="00D14D27" w:rsidRPr="009231B4" w:rsidRDefault="00D74919">
            <w:pPr>
              <w:spacing w:after="0" w:line="259" w:lineRule="auto"/>
              <w:ind w:left="0" w:firstLine="0"/>
              <w:rPr>
                <w:color w:val="auto"/>
              </w:rPr>
            </w:pPr>
            <w:r w:rsidRPr="009231B4">
              <w:rPr>
                <w:color w:val="auto"/>
                <w:sz w:val="20"/>
              </w:rPr>
              <w:t xml:space="preserve">Exam room incident logs  </w:t>
            </w:r>
          </w:p>
        </w:tc>
        <w:tc>
          <w:tcPr>
            <w:tcW w:w="2551" w:type="dxa"/>
            <w:tcBorders>
              <w:top w:val="single" w:sz="4" w:space="0" w:color="000000"/>
              <w:left w:val="single" w:sz="4" w:space="0" w:color="000000"/>
              <w:bottom w:val="single" w:sz="4" w:space="0" w:color="000000"/>
              <w:right w:val="single" w:sz="4" w:space="0" w:color="000000"/>
            </w:tcBorders>
            <w:vAlign w:val="center"/>
          </w:tcPr>
          <w:p w14:paraId="08302923" w14:textId="77777777" w:rsidR="00D14D27" w:rsidRPr="009231B4" w:rsidRDefault="00D74919">
            <w:pPr>
              <w:spacing w:after="0" w:line="259" w:lineRule="auto"/>
              <w:ind w:left="0" w:firstLine="0"/>
              <w:rPr>
                <w:color w:val="auto"/>
              </w:rPr>
            </w:pPr>
            <w:r w:rsidRPr="009231B4">
              <w:rPr>
                <w:color w:val="auto"/>
                <w:sz w:val="20"/>
              </w:rPr>
              <w:t xml:space="preserve"> </w:t>
            </w:r>
            <w:r w:rsidRPr="009231B4">
              <w:rPr>
                <w:b/>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3AA6DE9D"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2EB6EEAA"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3AEEBECF"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41AD6E0" w14:textId="77777777" w:rsidR="00D14D27" w:rsidRPr="009231B4" w:rsidRDefault="00D74919">
            <w:pPr>
              <w:spacing w:after="0" w:line="259" w:lineRule="auto"/>
              <w:ind w:left="1" w:firstLine="0"/>
              <w:rPr>
                <w:color w:val="auto"/>
              </w:rPr>
            </w:pPr>
            <w:r w:rsidRPr="009231B4">
              <w:rPr>
                <w:color w:val="auto"/>
                <w:sz w:val="20"/>
              </w:rPr>
              <w:t xml:space="preserve"> </w:t>
            </w:r>
          </w:p>
        </w:tc>
      </w:tr>
      <w:tr w:rsidR="009231B4" w:rsidRPr="009231B4" w14:paraId="7C7AA85A" w14:textId="77777777">
        <w:trPr>
          <w:trHeight w:val="733"/>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849678" w14:textId="77777777" w:rsidR="00D14D27" w:rsidRPr="009231B4" w:rsidRDefault="00D74919">
            <w:pPr>
              <w:spacing w:after="0" w:line="259" w:lineRule="auto"/>
              <w:ind w:left="0" w:firstLine="0"/>
              <w:jc w:val="both"/>
              <w:rPr>
                <w:color w:val="auto"/>
              </w:rPr>
            </w:pPr>
            <w:r w:rsidRPr="009231B4">
              <w:rPr>
                <w:color w:val="auto"/>
                <w:sz w:val="20"/>
              </w:rPr>
              <w:t xml:space="preserve">Invigilator and facilitator training records </w:t>
            </w:r>
          </w:p>
        </w:tc>
        <w:tc>
          <w:tcPr>
            <w:tcW w:w="2551" w:type="dxa"/>
            <w:tcBorders>
              <w:top w:val="single" w:sz="4" w:space="0" w:color="000000"/>
              <w:left w:val="single" w:sz="4" w:space="0" w:color="000000"/>
              <w:bottom w:val="single" w:sz="4" w:space="0" w:color="000000"/>
              <w:right w:val="single" w:sz="4" w:space="0" w:color="000000"/>
            </w:tcBorders>
          </w:tcPr>
          <w:p w14:paraId="6D8D2E57" w14:textId="77777777" w:rsidR="00D14D27" w:rsidRPr="009231B4" w:rsidRDefault="00D74919">
            <w:pPr>
              <w:spacing w:after="0" w:line="259" w:lineRule="auto"/>
              <w:ind w:left="0" w:firstLine="0"/>
              <w:rPr>
                <w:color w:val="auto"/>
              </w:rPr>
            </w:pPr>
            <w:r w:rsidRPr="009231B4">
              <w:rPr>
                <w:color w:val="auto"/>
                <w:sz w:val="20"/>
              </w:rPr>
              <w:t xml:space="preserve"> </w:t>
            </w:r>
            <w:r w:rsidRPr="009231B4">
              <w:rPr>
                <w:b/>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5C37BB03"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10E4239"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B0F6044"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7ED0F8F" w14:textId="77777777" w:rsidR="00D14D27" w:rsidRPr="009231B4" w:rsidRDefault="00D74919">
            <w:pPr>
              <w:spacing w:after="0" w:line="259" w:lineRule="auto"/>
              <w:ind w:left="1" w:firstLine="0"/>
              <w:rPr>
                <w:color w:val="auto"/>
              </w:rPr>
            </w:pPr>
            <w:r w:rsidRPr="009231B4">
              <w:rPr>
                <w:color w:val="auto"/>
                <w:sz w:val="20"/>
              </w:rPr>
              <w:t xml:space="preserve"> </w:t>
            </w:r>
          </w:p>
        </w:tc>
      </w:tr>
      <w:tr w:rsidR="009231B4" w:rsidRPr="009231B4" w14:paraId="0D95AAE5" w14:textId="77777777">
        <w:trPr>
          <w:trHeight w:val="732"/>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9988DF" w14:textId="77777777" w:rsidR="00D14D27" w:rsidRPr="009231B4" w:rsidRDefault="00D74919">
            <w:pPr>
              <w:spacing w:after="0" w:line="259" w:lineRule="auto"/>
              <w:ind w:left="0" w:firstLine="0"/>
              <w:rPr>
                <w:color w:val="auto"/>
              </w:rPr>
            </w:pPr>
            <w:r w:rsidRPr="009231B4">
              <w:rPr>
                <w:color w:val="auto"/>
                <w:sz w:val="20"/>
              </w:rPr>
              <w:t xml:space="preserve">Overnight supervision information </w:t>
            </w:r>
          </w:p>
        </w:tc>
        <w:tc>
          <w:tcPr>
            <w:tcW w:w="2551" w:type="dxa"/>
            <w:tcBorders>
              <w:top w:val="single" w:sz="4" w:space="0" w:color="000000"/>
              <w:left w:val="single" w:sz="4" w:space="0" w:color="000000"/>
              <w:bottom w:val="single" w:sz="4" w:space="0" w:color="000000"/>
              <w:right w:val="single" w:sz="4" w:space="0" w:color="000000"/>
            </w:tcBorders>
          </w:tcPr>
          <w:p w14:paraId="05249660" w14:textId="77777777" w:rsidR="00D14D27" w:rsidRPr="009231B4" w:rsidRDefault="00D74919">
            <w:pPr>
              <w:spacing w:after="0" w:line="259" w:lineRule="auto"/>
              <w:ind w:left="0" w:firstLine="0"/>
              <w:rPr>
                <w:color w:val="auto"/>
              </w:rPr>
            </w:pPr>
            <w:r w:rsidRPr="009231B4">
              <w:rPr>
                <w:color w:val="auto"/>
                <w:sz w:val="20"/>
              </w:rPr>
              <w:t xml:space="preserve"> </w:t>
            </w:r>
            <w:r w:rsidRPr="009231B4">
              <w:rPr>
                <w:b/>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67A99FAA"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15F1ED6"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92EEF07"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894BFFA" w14:textId="77777777" w:rsidR="00D14D27" w:rsidRPr="009231B4" w:rsidRDefault="00D74919">
            <w:pPr>
              <w:spacing w:after="0" w:line="259" w:lineRule="auto"/>
              <w:ind w:left="1" w:firstLine="0"/>
              <w:rPr>
                <w:color w:val="auto"/>
              </w:rPr>
            </w:pPr>
            <w:r w:rsidRPr="009231B4">
              <w:rPr>
                <w:color w:val="auto"/>
                <w:sz w:val="20"/>
              </w:rPr>
              <w:t xml:space="preserve"> </w:t>
            </w:r>
          </w:p>
        </w:tc>
      </w:tr>
      <w:tr w:rsidR="009231B4" w:rsidRPr="009231B4" w14:paraId="444B5978" w14:textId="77777777">
        <w:trPr>
          <w:trHeight w:val="974"/>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C9DB33" w14:textId="77777777" w:rsidR="00D14D27" w:rsidRPr="009231B4" w:rsidRDefault="00D74919">
            <w:pPr>
              <w:spacing w:after="0" w:line="259" w:lineRule="auto"/>
              <w:ind w:left="0" w:firstLine="0"/>
              <w:rPr>
                <w:color w:val="auto"/>
              </w:rPr>
            </w:pPr>
            <w:r w:rsidRPr="009231B4">
              <w:rPr>
                <w:color w:val="auto"/>
                <w:sz w:val="20"/>
              </w:rPr>
              <w:t xml:space="preserve">Post-results services: confirmation of candidate consent information </w:t>
            </w:r>
          </w:p>
        </w:tc>
        <w:tc>
          <w:tcPr>
            <w:tcW w:w="2551" w:type="dxa"/>
            <w:tcBorders>
              <w:top w:val="single" w:sz="4" w:space="0" w:color="000000"/>
              <w:left w:val="single" w:sz="4" w:space="0" w:color="000000"/>
              <w:bottom w:val="single" w:sz="4" w:space="0" w:color="000000"/>
              <w:right w:val="single" w:sz="4" w:space="0" w:color="000000"/>
            </w:tcBorders>
          </w:tcPr>
          <w:p w14:paraId="77EAFC5B" w14:textId="77777777" w:rsidR="00D14D27" w:rsidRPr="009231B4" w:rsidRDefault="00D74919">
            <w:pPr>
              <w:spacing w:after="0" w:line="259" w:lineRule="auto"/>
              <w:ind w:left="0" w:firstLine="0"/>
              <w:rPr>
                <w:color w:val="auto"/>
              </w:rPr>
            </w:pPr>
            <w:r w:rsidRPr="009231B4">
              <w:rPr>
                <w:color w:val="auto"/>
                <w:sz w:val="20"/>
              </w:rPr>
              <w:t xml:space="preserve"> </w:t>
            </w:r>
            <w:r w:rsidRPr="009231B4">
              <w:rPr>
                <w:b/>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0CE01E2E"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CF28C94"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007B047"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2027B91" w14:textId="77777777" w:rsidR="00D14D27" w:rsidRPr="009231B4" w:rsidRDefault="00D74919">
            <w:pPr>
              <w:spacing w:after="0" w:line="259" w:lineRule="auto"/>
              <w:ind w:left="1" w:firstLine="0"/>
              <w:rPr>
                <w:color w:val="auto"/>
              </w:rPr>
            </w:pPr>
            <w:r w:rsidRPr="009231B4">
              <w:rPr>
                <w:color w:val="auto"/>
                <w:sz w:val="20"/>
              </w:rPr>
              <w:t xml:space="preserve"> </w:t>
            </w:r>
          </w:p>
        </w:tc>
      </w:tr>
      <w:tr w:rsidR="009231B4" w:rsidRPr="009231B4" w14:paraId="7CE35DB3" w14:textId="77777777">
        <w:trPr>
          <w:trHeight w:val="974"/>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B42ABC" w14:textId="77777777" w:rsidR="00D14D27" w:rsidRPr="009231B4" w:rsidRDefault="00D74919">
            <w:pPr>
              <w:spacing w:after="0" w:line="259" w:lineRule="auto"/>
              <w:ind w:left="0" w:firstLine="0"/>
              <w:rPr>
                <w:color w:val="auto"/>
              </w:rPr>
            </w:pPr>
            <w:r w:rsidRPr="009231B4">
              <w:rPr>
                <w:color w:val="auto"/>
                <w:sz w:val="20"/>
              </w:rPr>
              <w:t xml:space="preserve">Post-results services: requests/outcome information </w:t>
            </w:r>
          </w:p>
        </w:tc>
        <w:tc>
          <w:tcPr>
            <w:tcW w:w="2551" w:type="dxa"/>
            <w:tcBorders>
              <w:top w:val="single" w:sz="4" w:space="0" w:color="000000"/>
              <w:left w:val="single" w:sz="4" w:space="0" w:color="000000"/>
              <w:bottom w:val="single" w:sz="4" w:space="0" w:color="000000"/>
              <w:right w:val="single" w:sz="4" w:space="0" w:color="000000"/>
            </w:tcBorders>
          </w:tcPr>
          <w:p w14:paraId="2FD8357B" w14:textId="77777777" w:rsidR="00D14D27" w:rsidRPr="009231B4" w:rsidRDefault="00D74919">
            <w:pPr>
              <w:spacing w:after="0" w:line="259" w:lineRule="auto"/>
              <w:ind w:left="0" w:firstLine="0"/>
              <w:rPr>
                <w:color w:val="auto"/>
              </w:rPr>
            </w:pPr>
            <w:r w:rsidRPr="009231B4">
              <w:rPr>
                <w:color w:val="auto"/>
                <w:sz w:val="20"/>
              </w:rPr>
              <w:t xml:space="preserve"> </w:t>
            </w:r>
            <w:r w:rsidRPr="009231B4">
              <w:rPr>
                <w:b/>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14887898"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2870894"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160F9CC"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205BCD65" w14:textId="77777777" w:rsidR="00D14D27" w:rsidRPr="009231B4" w:rsidRDefault="00D74919">
            <w:pPr>
              <w:spacing w:after="0" w:line="259" w:lineRule="auto"/>
              <w:ind w:left="1" w:firstLine="0"/>
              <w:rPr>
                <w:color w:val="auto"/>
              </w:rPr>
            </w:pPr>
            <w:r w:rsidRPr="009231B4">
              <w:rPr>
                <w:color w:val="auto"/>
                <w:sz w:val="20"/>
              </w:rPr>
              <w:t xml:space="preserve"> </w:t>
            </w:r>
          </w:p>
        </w:tc>
      </w:tr>
      <w:tr w:rsidR="009231B4" w:rsidRPr="009231B4" w14:paraId="1864FC05" w14:textId="77777777">
        <w:trPr>
          <w:trHeight w:val="974"/>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8E9D34" w14:textId="77777777" w:rsidR="00D14D27" w:rsidRPr="009231B4" w:rsidRDefault="00D74919">
            <w:pPr>
              <w:spacing w:after="0" w:line="259" w:lineRule="auto"/>
              <w:ind w:left="0" w:right="2" w:firstLine="0"/>
              <w:rPr>
                <w:color w:val="auto"/>
              </w:rPr>
            </w:pPr>
            <w:r w:rsidRPr="009231B4">
              <w:rPr>
                <w:color w:val="auto"/>
                <w:sz w:val="20"/>
              </w:rPr>
              <w:lastRenderedPageBreak/>
              <w:t xml:space="preserve">Post-results services: scripts provided by ATS service  </w:t>
            </w:r>
          </w:p>
        </w:tc>
        <w:tc>
          <w:tcPr>
            <w:tcW w:w="2551" w:type="dxa"/>
            <w:tcBorders>
              <w:top w:val="single" w:sz="4" w:space="0" w:color="000000"/>
              <w:left w:val="single" w:sz="4" w:space="0" w:color="000000"/>
              <w:bottom w:val="single" w:sz="4" w:space="0" w:color="000000"/>
              <w:right w:val="single" w:sz="4" w:space="0" w:color="000000"/>
            </w:tcBorders>
          </w:tcPr>
          <w:p w14:paraId="2F31B36D" w14:textId="77777777" w:rsidR="00D14D27" w:rsidRPr="009231B4" w:rsidRDefault="00D74919">
            <w:pPr>
              <w:spacing w:after="0" w:line="259" w:lineRule="auto"/>
              <w:ind w:left="0" w:firstLine="0"/>
              <w:rPr>
                <w:color w:val="auto"/>
              </w:rPr>
            </w:pPr>
            <w:r w:rsidRPr="009231B4">
              <w:rPr>
                <w:color w:val="auto"/>
                <w:sz w:val="20"/>
              </w:rPr>
              <w:t xml:space="preserve"> </w:t>
            </w:r>
            <w:r w:rsidRPr="009231B4">
              <w:rPr>
                <w:b/>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20BD26C7"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3857364"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1A887AB"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39695169" w14:textId="77777777" w:rsidR="00D14D27" w:rsidRPr="009231B4" w:rsidRDefault="00D74919">
            <w:pPr>
              <w:spacing w:after="0" w:line="259" w:lineRule="auto"/>
              <w:ind w:left="1" w:firstLine="0"/>
              <w:rPr>
                <w:color w:val="auto"/>
              </w:rPr>
            </w:pPr>
            <w:r w:rsidRPr="009231B4">
              <w:rPr>
                <w:color w:val="auto"/>
                <w:sz w:val="20"/>
              </w:rPr>
              <w:t xml:space="preserve"> </w:t>
            </w:r>
          </w:p>
        </w:tc>
      </w:tr>
      <w:tr w:rsidR="009231B4" w:rsidRPr="009231B4" w14:paraId="58B765DA" w14:textId="77777777">
        <w:trPr>
          <w:trHeight w:val="732"/>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2506B5" w14:textId="77777777" w:rsidR="00D14D27" w:rsidRPr="009231B4" w:rsidRDefault="00D74919">
            <w:pPr>
              <w:spacing w:after="0" w:line="259" w:lineRule="auto"/>
              <w:ind w:left="0" w:firstLine="0"/>
              <w:rPr>
                <w:color w:val="auto"/>
              </w:rPr>
            </w:pPr>
            <w:r w:rsidRPr="009231B4">
              <w:rPr>
                <w:color w:val="auto"/>
                <w:sz w:val="20"/>
              </w:rPr>
              <w:t xml:space="preserve">Post-results services: </w:t>
            </w:r>
          </w:p>
          <w:p w14:paraId="287F451E" w14:textId="77777777" w:rsidR="00D14D27" w:rsidRPr="009231B4" w:rsidRDefault="00D74919">
            <w:pPr>
              <w:spacing w:after="0" w:line="259" w:lineRule="auto"/>
              <w:ind w:left="0" w:firstLine="0"/>
              <w:rPr>
                <w:color w:val="auto"/>
              </w:rPr>
            </w:pPr>
            <w:r w:rsidRPr="009231B4">
              <w:rPr>
                <w:color w:val="auto"/>
                <w:sz w:val="20"/>
              </w:rPr>
              <w:t xml:space="preserve">tracking logs </w:t>
            </w:r>
          </w:p>
        </w:tc>
        <w:tc>
          <w:tcPr>
            <w:tcW w:w="2551" w:type="dxa"/>
            <w:tcBorders>
              <w:top w:val="single" w:sz="4" w:space="0" w:color="000000"/>
              <w:left w:val="single" w:sz="4" w:space="0" w:color="000000"/>
              <w:bottom w:val="single" w:sz="4" w:space="0" w:color="000000"/>
              <w:right w:val="single" w:sz="4" w:space="0" w:color="000000"/>
            </w:tcBorders>
          </w:tcPr>
          <w:p w14:paraId="358B5103" w14:textId="77777777" w:rsidR="00D14D27" w:rsidRPr="009231B4" w:rsidRDefault="00D74919">
            <w:pPr>
              <w:spacing w:after="0" w:line="259" w:lineRule="auto"/>
              <w:ind w:left="0" w:firstLine="0"/>
              <w:rPr>
                <w:color w:val="auto"/>
              </w:rPr>
            </w:pPr>
            <w:r w:rsidRPr="009231B4">
              <w:rPr>
                <w:color w:val="auto"/>
                <w:sz w:val="20"/>
              </w:rPr>
              <w:t xml:space="preserve"> </w:t>
            </w:r>
            <w:r w:rsidRPr="009231B4">
              <w:rPr>
                <w:b/>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3CAFB403"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B999B5A"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EE99162"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317B0D3B" w14:textId="77777777" w:rsidR="00D14D27" w:rsidRPr="009231B4" w:rsidRDefault="00D74919">
            <w:pPr>
              <w:spacing w:after="0" w:line="259" w:lineRule="auto"/>
              <w:ind w:left="1" w:firstLine="0"/>
              <w:rPr>
                <w:color w:val="auto"/>
              </w:rPr>
            </w:pPr>
            <w:r w:rsidRPr="009231B4">
              <w:rPr>
                <w:color w:val="auto"/>
                <w:sz w:val="20"/>
              </w:rPr>
              <w:t xml:space="preserve"> </w:t>
            </w:r>
          </w:p>
        </w:tc>
      </w:tr>
      <w:tr w:rsidR="009231B4" w:rsidRPr="009231B4" w14:paraId="472AA4B0" w14:textId="77777777">
        <w:trPr>
          <w:trHeight w:val="733"/>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CB38BC" w14:textId="77777777" w:rsidR="00D14D27" w:rsidRPr="009231B4" w:rsidRDefault="00D74919">
            <w:pPr>
              <w:spacing w:after="0" w:line="259" w:lineRule="auto"/>
              <w:ind w:left="0" w:firstLine="0"/>
              <w:rPr>
                <w:color w:val="auto"/>
              </w:rPr>
            </w:pPr>
            <w:r w:rsidRPr="009231B4">
              <w:rPr>
                <w:color w:val="auto"/>
                <w:sz w:val="20"/>
              </w:rPr>
              <w:t xml:space="preserve">Private candidate information </w:t>
            </w:r>
          </w:p>
        </w:tc>
        <w:tc>
          <w:tcPr>
            <w:tcW w:w="2551" w:type="dxa"/>
            <w:tcBorders>
              <w:top w:val="single" w:sz="4" w:space="0" w:color="000000"/>
              <w:left w:val="single" w:sz="4" w:space="0" w:color="000000"/>
              <w:bottom w:val="single" w:sz="4" w:space="0" w:color="000000"/>
              <w:right w:val="single" w:sz="4" w:space="0" w:color="000000"/>
            </w:tcBorders>
          </w:tcPr>
          <w:p w14:paraId="254C444A" w14:textId="77777777" w:rsidR="00D14D27" w:rsidRPr="009231B4" w:rsidRDefault="00D74919">
            <w:pPr>
              <w:spacing w:after="0" w:line="259" w:lineRule="auto"/>
              <w:ind w:left="0" w:firstLine="0"/>
              <w:rPr>
                <w:color w:val="auto"/>
              </w:rPr>
            </w:pPr>
            <w:r w:rsidRPr="009231B4">
              <w:rPr>
                <w:color w:val="auto"/>
                <w:sz w:val="20"/>
              </w:rPr>
              <w:t xml:space="preserve"> </w:t>
            </w:r>
            <w:r w:rsidRPr="009231B4">
              <w:rPr>
                <w:b/>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79E48300"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4E829913"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3375455"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7CAAFFF7" w14:textId="77777777" w:rsidR="00D14D27" w:rsidRPr="009231B4" w:rsidRDefault="00D74919">
            <w:pPr>
              <w:spacing w:after="0" w:line="259" w:lineRule="auto"/>
              <w:ind w:left="1" w:firstLine="0"/>
              <w:rPr>
                <w:color w:val="auto"/>
              </w:rPr>
            </w:pPr>
            <w:r w:rsidRPr="009231B4">
              <w:rPr>
                <w:color w:val="auto"/>
                <w:sz w:val="20"/>
              </w:rPr>
              <w:t xml:space="preserve"> </w:t>
            </w:r>
          </w:p>
        </w:tc>
      </w:tr>
      <w:tr w:rsidR="009231B4" w:rsidRPr="009231B4" w14:paraId="24F0C82C" w14:textId="77777777">
        <w:trPr>
          <w:trHeight w:val="974"/>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FCCB61" w14:textId="77777777" w:rsidR="00D14D27" w:rsidRPr="009231B4" w:rsidRDefault="00D74919">
            <w:pPr>
              <w:spacing w:after="0" w:line="259" w:lineRule="auto"/>
              <w:ind w:left="0" w:firstLine="0"/>
              <w:rPr>
                <w:color w:val="auto"/>
              </w:rPr>
            </w:pPr>
            <w:r w:rsidRPr="009231B4">
              <w:rPr>
                <w:color w:val="auto"/>
                <w:sz w:val="20"/>
              </w:rPr>
              <w:t xml:space="preserve">Resilience arrangements: Evidence of candidate performance </w:t>
            </w:r>
          </w:p>
        </w:tc>
        <w:tc>
          <w:tcPr>
            <w:tcW w:w="2551" w:type="dxa"/>
            <w:tcBorders>
              <w:top w:val="single" w:sz="4" w:space="0" w:color="000000"/>
              <w:left w:val="single" w:sz="4" w:space="0" w:color="000000"/>
              <w:bottom w:val="single" w:sz="4" w:space="0" w:color="000000"/>
              <w:right w:val="single" w:sz="4" w:space="0" w:color="000000"/>
            </w:tcBorders>
          </w:tcPr>
          <w:p w14:paraId="0213211B"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32E9CC9F"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4E5BB200"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EC88A5C"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E70B586" w14:textId="77777777" w:rsidR="00D14D27" w:rsidRPr="009231B4" w:rsidRDefault="00D74919">
            <w:pPr>
              <w:spacing w:after="0" w:line="259" w:lineRule="auto"/>
              <w:ind w:left="1" w:firstLine="0"/>
              <w:rPr>
                <w:color w:val="auto"/>
              </w:rPr>
            </w:pPr>
            <w:r w:rsidRPr="009231B4">
              <w:rPr>
                <w:color w:val="auto"/>
                <w:sz w:val="20"/>
              </w:rPr>
              <w:t xml:space="preserve"> </w:t>
            </w:r>
          </w:p>
        </w:tc>
      </w:tr>
      <w:tr w:rsidR="009231B4" w:rsidRPr="009231B4" w14:paraId="2E7DDA2B" w14:textId="77777777">
        <w:trPr>
          <w:trHeight w:val="732"/>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3C0871" w14:textId="77777777" w:rsidR="00D14D27" w:rsidRPr="009231B4" w:rsidRDefault="00D74919">
            <w:pPr>
              <w:spacing w:after="0" w:line="259" w:lineRule="auto"/>
              <w:ind w:left="0" w:firstLine="0"/>
              <w:rPr>
                <w:color w:val="auto"/>
              </w:rPr>
            </w:pPr>
            <w:r w:rsidRPr="009231B4">
              <w:rPr>
                <w:color w:val="auto"/>
                <w:sz w:val="20"/>
              </w:rPr>
              <w:t xml:space="preserve">Resolving timetable clashes information </w:t>
            </w:r>
          </w:p>
        </w:tc>
        <w:tc>
          <w:tcPr>
            <w:tcW w:w="2551" w:type="dxa"/>
            <w:tcBorders>
              <w:top w:val="single" w:sz="4" w:space="0" w:color="000000"/>
              <w:left w:val="single" w:sz="4" w:space="0" w:color="000000"/>
              <w:bottom w:val="single" w:sz="4" w:space="0" w:color="000000"/>
              <w:right w:val="single" w:sz="4" w:space="0" w:color="000000"/>
            </w:tcBorders>
          </w:tcPr>
          <w:p w14:paraId="4E1CA354" w14:textId="77777777" w:rsidR="00D14D27" w:rsidRPr="009231B4" w:rsidRDefault="00D74919">
            <w:pPr>
              <w:spacing w:after="0" w:line="259" w:lineRule="auto"/>
              <w:ind w:left="0" w:firstLine="0"/>
              <w:rPr>
                <w:color w:val="auto"/>
              </w:rPr>
            </w:pPr>
            <w:r w:rsidRPr="009231B4">
              <w:rPr>
                <w:color w:val="auto"/>
                <w:sz w:val="20"/>
              </w:rPr>
              <w:t xml:space="preserve"> </w:t>
            </w:r>
            <w:r w:rsidRPr="009231B4">
              <w:rPr>
                <w:b/>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3BB2A3E9"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4F46E5AE"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DE61B5A"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2FB42F0D" w14:textId="77777777" w:rsidR="00D14D27" w:rsidRPr="009231B4" w:rsidRDefault="00D74919">
            <w:pPr>
              <w:spacing w:after="0" w:line="259" w:lineRule="auto"/>
              <w:ind w:left="1" w:firstLine="0"/>
              <w:rPr>
                <w:color w:val="auto"/>
              </w:rPr>
            </w:pPr>
            <w:r w:rsidRPr="009231B4">
              <w:rPr>
                <w:color w:val="auto"/>
                <w:sz w:val="20"/>
              </w:rPr>
              <w:t xml:space="preserve"> </w:t>
            </w:r>
          </w:p>
        </w:tc>
      </w:tr>
      <w:tr w:rsidR="009231B4" w:rsidRPr="009231B4" w14:paraId="2EC81C6A" w14:textId="77777777">
        <w:trPr>
          <w:trHeight w:val="683"/>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27724C" w14:textId="77777777" w:rsidR="00D14D27" w:rsidRPr="009231B4" w:rsidRDefault="00D74919">
            <w:pPr>
              <w:spacing w:after="0" w:line="259" w:lineRule="auto"/>
              <w:ind w:left="2" w:firstLine="0"/>
              <w:jc w:val="center"/>
              <w:rPr>
                <w:color w:val="auto"/>
              </w:rPr>
            </w:pPr>
            <w:r w:rsidRPr="009231B4">
              <w:rPr>
                <w:color w:val="auto"/>
                <w:sz w:val="18"/>
              </w:rPr>
              <w:t xml:space="preserve">Information type </w:t>
            </w: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589CCF" w14:textId="77777777" w:rsidR="00D14D27" w:rsidRPr="009231B4" w:rsidRDefault="00D74919">
            <w:pPr>
              <w:spacing w:after="0" w:line="259" w:lineRule="auto"/>
              <w:ind w:left="3" w:firstLine="0"/>
              <w:jc w:val="center"/>
              <w:rPr>
                <w:color w:val="auto"/>
              </w:rPr>
            </w:pPr>
            <w:r w:rsidRPr="009231B4">
              <w:rPr>
                <w:color w:val="auto"/>
                <w:sz w:val="18"/>
              </w:rPr>
              <w:t xml:space="preserve">Information description </w:t>
            </w:r>
          </w:p>
          <w:p w14:paraId="2B848AD1" w14:textId="77777777" w:rsidR="00D14D27" w:rsidRPr="009231B4" w:rsidRDefault="00D74919">
            <w:pPr>
              <w:spacing w:after="0" w:line="259" w:lineRule="auto"/>
              <w:ind w:left="6" w:firstLine="0"/>
              <w:jc w:val="center"/>
              <w:rPr>
                <w:color w:val="auto"/>
              </w:rPr>
            </w:pPr>
            <w:r w:rsidRPr="009231B4">
              <w:rPr>
                <w:color w:val="auto"/>
                <w:sz w:val="15"/>
              </w:rPr>
              <w:t>(</w:t>
            </w:r>
            <w:proofErr w:type="gramStart"/>
            <w:r w:rsidRPr="009231B4">
              <w:rPr>
                <w:color w:val="auto"/>
                <w:sz w:val="15"/>
              </w:rPr>
              <w:t>where</w:t>
            </w:r>
            <w:proofErr w:type="gramEnd"/>
            <w:r w:rsidRPr="009231B4">
              <w:rPr>
                <w:color w:val="auto"/>
                <w:sz w:val="15"/>
              </w:rPr>
              <w:t xml:space="preserve"> required)</w:t>
            </w:r>
            <w:r w:rsidRPr="009231B4">
              <w:rPr>
                <w:color w:val="auto"/>
                <w:sz w:val="18"/>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CE30B2" w14:textId="77777777" w:rsidR="00D14D27" w:rsidRPr="009231B4" w:rsidRDefault="00D74919">
            <w:pPr>
              <w:spacing w:after="0" w:line="259" w:lineRule="auto"/>
              <w:ind w:left="0" w:firstLine="0"/>
              <w:jc w:val="center"/>
              <w:rPr>
                <w:color w:val="auto"/>
              </w:rPr>
            </w:pPr>
            <w:r w:rsidRPr="009231B4">
              <w:rPr>
                <w:color w:val="auto"/>
                <w:sz w:val="18"/>
              </w:rPr>
              <w:t xml:space="preserve">What personal/sensitive data is/may be contained in the information </w:t>
            </w:r>
          </w:p>
        </w:tc>
        <w:tc>
          <w:tcPr>
            <w:tcW w:w="24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2EDC0D" w14:textId="77777777" w:rsidR="00D14D27" w:rsidRPr="009231B4" w:rsidRDefault="00D74919">
            <w:pPr>
              <w:spacing w:after="0" w:line="259" w:lineRule="auto"/>
              <w:ind w:left="18" w:firstLine="0"/>
              <w:jc w:val="center"/>
              <w:rPr>
                <w:color w:val="auto"/>
              </w:rPr>
            </w:pPr>
            <w:r w:rsidRPr="009231B4">
              <w:rPr>
                <w:color w:val="auto"/>
                <w:sz w:val="18"/>
              </w:rPr>
              <w:t xml:space="preserve">Where information is stored  </w:t>
            </w:r>
          </w:p>
        </w:tc>
        <w:tc>
          <w:tcPr>
            <w:tcW w:w="19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BCD230" w14:textId="77777777" w:rsidR="00D14D27" w:rsidRPr="009231B4" w:rsidRDefault="00D74919">
            <w:pPr>
              <w:spacing w:after="0" w:line="259" w:lineRule="auto"/>
              <w:ind w:left="0" w:firstLine="0"/>
              <w:jc w:val="center"/>
              <w:rPr>
                <w:color w:val="auto"/>
              </w:rPr>
            </w:pPr>
            <w:r w:rsidRPr="009231B4">
              <w:rPr>
                <w:color w:val="auto"/>
                <w:sz w:val="18"/>
              </w:rPr>
              <w:t xml:space="preserve">How information is protected </w:t>
            </w:r>
          </w:p>
        </w:tc>
        <w:tc>
          <w:tcPr>
            <w:tcW w:w="17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D851D5" w14:textId="77777777" w:rsidR="00D14D27" w:rsidRPr="009231B4" w:rsidRDefault="00D74919">
            <w:pPr>
              <w:spacing w:after="0" w:line="259" w:lineRule="auto"/>
              <w:ind w:left="8" w:firstLine="0"/>
              <w:jc w:val="center"/>
              <w:rPr>
                <w:color w:val="auto"/>
              </w:rPr>
            </w:pPr>
            <w:r w:rsidRPr="009231B4">
              <w:rPr>
                <w:color w:val="auto"/>
                <w:sz w:val="18"/>
              </w:rPr>
              <w:t xml:space="preserve">Retention period </w:t>
            </w:r>
          </w:p>
        </w:tc>
      </w:tr>
      <w:tr w:rsidR="009231B4" w:rsidRPr="009231B4" w14:paraId="390CE33F" w14:textId="77777777">
        <w:trPr>
          <w:trHeight w:val="638"/>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F6E5A6" w14:textId="77777777" w:rsidR="00D14D27" w:rsidRPr="009231B4" w:rsidRDefault="00D74919">
            <w:pPr>
              <w:spacing w:after="0" w:line="259" w:lineRule="auto"/>
              <w:ind w:left="0" w:firstLine="0"/>
              <w:rPr>
                <w:color w:val="auto"/>
              </w:rPr>
            </w:pPr>
            <w:r w:rsidRPr="009231B4">
              <w:rPr>
                <w:color w:val="auto"/>
                <w:sz w:val="20"/>
              </w:rPr>
              <w:t xml:space="preserve">Results information </w:t>
            </w:r>
          </w:p>
        </w:tc>
        <w:tc>
          <w:tcPr>
            <w:tcW w:w="2551" w:type="dxa"/>
            <w:tcBorders>
              <w:top w:val="single" w:sz="4" w:space="0" w:color="000000"/>
              <w:left w:val="single" w:sz="4" w:space="0" w:color="000000"/>
              <w:bottom w:val="single" w:sz="4" w:space="0" w:color="000000"/>
              <w:right w:val="single" w:sz="4" w:space="0" w:color="000000"/>
            </w:tcBorders>
            <w:vAlign w:val="center"/>
          </w:tcPr>
          <w:p w14:paraId="13D4F4AA" w14:textId="77777777" w:rsidR="00D14D27" w:rsidRPr="009231B4" w:rsidRDefault="00D74919">
            <w:pPr>
              <w:spacing w:after="0" w:line="259" w:lineRule="auto"/>
              <w:ind w:left="0" w:firstLine="0"/>
              <w:rPr>
                <w:color w:val="auto"/>
              </w:rPr>
            </w:pPr>
            <w:r w:rsidRPr="009231B4">
              <w:rPr>
                <w:color w:val="auto"/>
                <w:sz w:val="20"/>
              </w:rPr>
              <w:t xml:space="preserve"> </w:t>
            </w:r>
            <w:r w:rsidRPr="009231B4">
              <w:rPr>
                <w:b/>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6BBACBB0"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78250609"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3F658513"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4AF02D8" w14:textId="77777777" w:rsidR="00D14D27" w:rsidRPr="009231B4" w:rsidRDefault="00D74919">
            <w:pPr>
              <w:spacing w:after="0" w:line="259" w:lineRule="auto"/>
              <w:ind w:left="1" w:firstLine="0"/>
              <w:rPr>
                <w:color w:val="auto"/>
              </w:rPr>
            </w:pPr>
            <w:r w:rsidRPr="009231B4">
              <w:rPr>
                <w:color w:val="auto"/>
                <w:sz w:val="20"/>
              </w:rPr>
              <w:t xml:space="preserve"> </w:t>
            </w:r>
          </w:p>
        </w:tc>
      </w:tr>
      <w:tr w:rsidR="009231B4" w:rsidRPr="009231B4" w14:paraId="6943F98B" w14:textId="77777777">
        <w:trPr>
          <w:trHeight w:val="636"/>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76CC5E" w14:textId="77777777" w:rsidR="00D14D27" w:rsidRPr="009231B4" w:rsidRDefault="00D74919">
            <w:pPr>
              <w:spacing w:after="0" w:line="259" w:lineRule="auto"/>
              <w:ind w:left="0" w:firstLine="0"/>
              <w:rPr>
                <w:color w:val="auto"/>
              </w:rPr>
            </w:pPr>
            <w:r w:rsidRPr="009231B4">
              <w:rPr>
                <w:color w:val="auto"/>
                <w:sz w:val="20"/>
              </w:rPr>
              <w:t xml:space="preserve">Seating plans </w:t>
            </w:r>
          </w:p>
        </w:tc>
        <w:tc>
          <w:tcPr>
            <w:tcW w:w="2551" w:type="dxa"/>
            <w:tcBorders>
              <w:top w:val="single" w:sz="4" w:space="0" w:color="000000"/>
              <w:left w:val="single" w:sz="4" w:space="0" w:color="000000"/>
              <w:bottom w:val="single" w:sz="4" w:space="0" w:color="000000"/>
              <w:right w:val="single" w:sz="4" w:space="0" w:color="000000"/>
            </w:tcBorders>
            <w:vAlign w:val="center"/>
          </w:tcPr>
          <w:p w14:paraId="6E8AFBE0" w14:textId="77777777" w:rsidR="00D14D27" w:rsidRPr="009231B4" w:rsidRDefault="00D74919">
            <w:pPr>
              <w:spacing w:after="0" w:line="259" w:lineRule="auto"/>
              <w:ind w:left="0" w:firstLine="0"/>
              <w:rPr>
                <w:color w:val="auto"/>
              </w:rPr>
            </w:pPr>
            <w:r w:rsidRPr="009231B4">
              <w:rPr>
                <w:color w:val="auto"/>
                <w:sz w:val="20"/>
              </w:rPr>
              <w:t xml:space="preserve"> </w:t>
            </w:r>
            <w:r w:rsidRPr="009231B4">
              <w:rPr>
                <w:b/>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64EDB663"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0E7AD11B"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18B4A3D2"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64FD6CCE" w14:textId="77777777" w:rsidR="00D14D27" w:rsidRPr="009231B4" w:rsidRDefault="00D74919">
            <w:pPr>
              <w:spacing w:after="0" w:line="259" w:lineRule="auto"/>
              <w:ind w:left="1" w:firstLine="0"/>
              <w:rPr>
                <w:color w:val="auto"/>
              </w:rPr>
            </w:pPr>
            <w:r w:rsidRPr="009231B4">
              <w:rPr>
                <w:color w:val="auto"/>
                <w:sz w:val="20"/>
              </w:rPr>
              <w:t xml:space="preserve"> </w:t>
            </w:r>
          </w:p>
        </w:tc>
      </w:tr>
      <w:tr w:rsidR="009231B4" w:rsidRPr="009231B4" w14:paraId="1CC13957" w14:textId="77777777">
        <w:trPr>
          <w:trHeight w:val="732"/>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C93A1C" w14:textId="77777777" w:rsidR="00D14D27" w:rsidRPr="009231B4" w:rsidRDefault="00D74919">
            <w:pPr>
              <w:spacing w:after="0" w:line="259" w:lineRule="auto"/>
              <w:ind w:left="0" w:firstLine="0"/>
              <w:rPr>
                <w:color w:val="auto"/>
              </w:rPr>
            </w:pPr>
            <w:r w:rsidRPr="009231B4">
              <w:rPr>
                <w:color w:val="auto"/>
                <w:sz w:val="20"/>
              </w:rPr>
              <w:t xml:space="preserve">Special consideration information </w:t>
            </w:r>
          </w:p>
        </w:tc>
        <w:tc>
          <w:tcPr>
            <w:tcW w:w="2551" w:type="dxa"/>
            <w:tcBorders>
              <w:top w:val="single" w:sz="4" w:space="0" w:color="000000"/>
              <w:left w:val="single" w:sz="4" w:space="0" w:color="000000"/>
              <w:bottom w:val="single" w:sz="4" w:space="0" w:color="000000"/>
              <w:right w:val="single" w:sz="4" w:space="0" w:color="000000"/>
            </w:tcBorders>
          </w:tcPr>
          <w:p w14:paraId="15C7449A" w14:textId="77777777" w:rsidR="00D14D27" w:rsidRPr="009231B4" w:rsidRDefault="00D74919">
            <w:pPr>
              <w:spacing w:after="0" w:line="259" w:lineRule="auto"/>
              <w:ind w:left="0" w:firstLine="0"/>
              <w:rPr>
                <w:color w:val="auto"/>
              </w:rPr>
            </w:pPr>
            <w:r w:rsidRPr="009231B4">
              <w:rPr>
                <w:color w:val="auto"/>
                <w:sz w:val="20"/>
              </w:rPr>
              <w:t xml:space="preserve"> </w:t>
            </w:r>
            <w:r w:rsidRPr="009231B4">
              <w:rPr>
                <w:b/>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189F8850"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B3D19AA"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20E55DE"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6B00E795" w14:textId="77777777" w:rsidR="00D14D27" w:rsidRPr="009231B4" w:rsidRDefault="00D74919">
            <w:pPr>
              <w:spacing w:after="0" w:line="259" w:lineRule="auto"/>
              <w:ind w:left="1" w:firstLine="0"/>
              <w:rPr>
                <w:color w:val="auto"/>
              </w:rPr>
            </w:pPr>
            <w:r w:rsidRPr="009231B4">
              <w:rPr>
                <w:color w:val="auto"/>
                <w:sz w:val="20"/>
              </w:rPr>
              <w:t xml:space="preserve"> </w:t>
            </w:r>
          </w:p>
        </w:tc>
      </w:tr>
      <w:tr w:rsidR="009231B4" w:rsidRPr="009231B4" w14:paraId="260450D6" w14:textId="77777777">
        <w:trPr>
          <w:trHeight w:val="734"/>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C17BF9" w14:textId="77777777" w:rsidR="00D14D27" w:rsidRPr="009231B4" w:rsidRDefault="00D74919">
            <w:pPr>
              <w:spacing w:after="0" w:line="259" w:lineRule="auto"/>
              <w:ind w:left="0" w:firstLine="0"/>
              <w:rPr>
                <w:color w:val="auto"/>
              </w:rPr>
            </w:pPr>
            <w:r w:rsidRPr="009231B4">
              <w:rPr>
                <w:color w:val="auto"/>
                <w:sz w:val="20"/>
              </w:rPr>
              <w:t xml:space="preserve">Suspected malpractice reports/outcomes </w:t>
            </w:r>
          </w:p>
        </w:tc>
        <w:tc>
          <w:tcPr>
            <w:tcW w:w="2551" w:type="dxa"/>
            <w:tcBorders>
              <w:top w:val="single" w:sz="4" w:space="0" w:color="000000"/>
              <w:left w:val="single" w:sz="4" w:space="0" w:color="000000"/>
              <w:bottom w:val="single" w:sz="4" w:space="0" w:color="000000"/>
              <w:right w:val="single" w:sz="4" w:space="0" w:color="000000"/>
            </w:tcBorders>
          </w:tcPr>
          <w:p w14:paraId="08BDD03C" w14:textId="77777777" w:rsidR="00D14D27" w:rsidRPr="009231B4" w:rsidRDefault="00D74919">
            <w:pPr>
              <w:spacing w:after="0" w:line="259" w:lineRule="auto"/>
              <w:ind w:left="0" w:firstLine="0"/>
              <w:rPr>
                <w:color w:val="auto"/>
              </w:rPr>
            </w:pPr>
            <w:r w:rsidRPr="009231B4">
              <w:rPr>
                <w:color w:val="auto"/>
                <w:sz w:val="20"/>
              </w:rPr>
              <w:t xml:space="preserve"> </w:t>
            </w:r>
            <w:r w:rsidRPr="009231B4">
              <w:rPr>
                <w:b/>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74EA39ED"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8BD38C6"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E37F18C"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733A7E18" w14:textId="77777777" w:rsidR="00D14D27" w:rsidRPr="009231B4" w:rsidRDefault="00D74919">
            <w:pPr>
              <w:spacing w:after="0" w:line="259" w:lineRule="auto"/>
              <w:ind w:left="1" w:firstLine="0"/>
              <w:rPr>
                <w:color w:val="auto"/>
              </w:rPr>
            </w:pPr>
            <w:r w:rsidRPr="009231B4">
              <w:rPr>
                <w:color w:val="auto"/>
                <w:sz w:val="20"/>
              </w:rPr>
              <w:t xml:space="preserve"> </w:t>
            </w:r>
          </w:p>
        </w:tc>
      </w:tr>
      <w:tr w:rsidR="009231B4" w:rsidRPr="009231B4" w14:paraId="6F288D60" w14:textId="77777777">
        <w:trPr>
          <w:trHeight w:val="732"/>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9DEDCC" w14:textId="77777777" w:rsidR="00D14D27" w:rsidRPr="009231B4" w:rsidRDefault="00D74919">
            <w:pPr>
              <w:spacing w:after="0" w:line="259" w:lineRule="auto"/>
              <w:ind w:left="0" w:firstLine="0"/>
              <w:rPr>
                <w:color w:val="auto"/>
              </w:rPr>
            </w:pPr>
            <w:r w:rsidRPr="009231B4">
              <w:rPr>
                <w:color w:val="auto"/>
                <w:sz w:val="20"/>
              </w:rPr>
              <w:lastRenderedPageBreak/>
              <w:t xml:space="preserve">Transferred candidate arrangements </w:t>
            </w:r>
          </w:p>
        </w:tc>
        <w:tc>
          <w:tcPr>
            <w:tcW w:w="2551" w:type="dxa"/>
            <w:tcBorders>
              <w:top w:val="single" w:sz="4" w:space="0" w:color="000000"/>
              <w:left w:val="single" w:sz="4" w:space="0" w:color="000000"/>
              <w:bottom w:val="single" w:sz="4" w:space="0" w:color="000000"/>
              <w:right w:val="single" w:sz="4" w:space="0" w:color="000000"/>
            </w:tcBorders>
          </w:tcPr>
          <w:p w14:paraId="5BB86C98" w14:textId="77777777" w:rsidR="00D14D27" w:rsidRPr="009231B4" w:rsidRDefault="00D74919">
            <w:pPr>
              <w:spacing w:after="0" w:line="259" w:lineRule="auto"/>
              <w:ind w:left="0" w:firstLine="0"/>
              <w:rPr>
                <w:color w:val="auto"/>
              </w:rPr>
            </w:pPr>
            <w:r w:rsidRPr="009231B4">
              <w:rPr>
                <w:color w:val="auto"/>
                <w:sz w:val="20"/>
              </w:rPr>
              <w:t xml:space="preserve">  </w:t>
            </w:r>
            <w:r w:rsidRPr="009231B4">
              <w:rPr>
                <w:b/>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4D2AF9FB"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4C4E835"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10CDA73"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35253329" w14:textId="77777777" w:rsidR="00D14D27" w:rsidRPr="009231B4" w:rsidRDefault="00D74919">
            <w:pPr>
              <w:spacing w:after="0" w:line="259" w:lineRule="auto"/>
              <w:ind w:left="1" w:firstLine="0"/>
              <w:rPr>
                <w:color w:val="auto"/>
              </w:rPr>
            </w:pPr>
            <w:r w:rsidRPr="009231B4">
              <w:rPr>
                <w:color w:val="auto"/>
                <w:sz w:val="20"/>
              </w:rPr>
              <w:t xml:space="preserve"> </w:t>
            </w:r>
          </w:p>
        </w:tc>
      </w:tr>
      <w:tr w:rsidR="009231B4" w:rsidRPr="009231B4" w14:paraId="504B3E3C" w14:textId="77777777">
        <w:trPr>
          <w:trHeight w:val="732"/>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C481C8" w14:textId="77777777" w:rsidR="00D14D27" w:rsidRPr="009231B4" w:rsidRDefault="00D74919">
            <w:pPr>
              <w:spacing w:after="0" w:line="259" w:lineRule="auto"/>
              <w:ind w:left="0" w:firstLine="0"/>
              <w:rPr>
                <w:color w:val="auto"/>
              </w:rPr>
            </w:pPr>
            <w:r w:rsidRPr="009231B4">
              <w:rPr>
                <w:color w:val="auto"/>
                <w:sz w:val="20"/>
              </w:rPr>
              <w:t xml:space="preserve">Very late arrival reports/outcomes </w:t>
            </w:r>
          </w:p>
        </w:tc>
        <w:tc>
          <w:tcPr>
            <w:tcW w:w="2551" w:type="dxa"/>
            <w:tcBorders>
              <w:top w:val="single" w:sz="4" w:space="0" w:color="000000"/>
              <w:left w:val="single" w:sz="4" w:space="0" w:color="000000"/>
              <w:bottom w:val="single" w:sz="4" w:space="0" w:color="000000"/>
              <w:right w:val="single" w:sz="4" w:space="0" w:color="000000"/>
            </w:tcBorders>
          </w:tcPr>
          <w:p w14:paraId="6AB38A54" w14:textId="77777777" w:rsidR="00D14D27" w:rsidRPr="009231B4" w:rsidRDefault="00D74919">
            <w:pPr>
              <w:spacing w:after="0" w:line="259" w:lineRule="auto"/>
              <w:ind w:left="0" w:firstLine="0"/>
              <w:rPr>
                <w:color w:val="auto"/>
              </w:rPr>
            </w:pPr>
            <w:r w:rsidRPr="009231B4">
              <w:rPr>
                <w:color w:val="auto"/>
                <w:sz w:val="20"/>
              </w:rPr>
              <w:t xml:space="preserve"> </w:t>
            </w:r>
            <w:r w:rsidRPr="009231B4">
              <w:rPr>
                <w:b/>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04CEACF6"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7CE07D4"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60EF4CF"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06D263CC" w14:textId="77777777" w:rsidR="00D14D27" w:rsidRPr="009231B4" w:rsidRDefault="00D74919">
            <w:pPr>
              <w:spacing w:after="0" w:line="259" w:lineRule="auto"/>
              <w:ind w:left="1" w:firstLine="0"/>
              <w:rPr>
                <w:color w:val="auto"/>
              </w:rPr>
            </w:pPr>
            <w:r w:rsidRPr="009231B4">
              <w:rPr>
                <w:color w:val="auto"/>
                <w:sz w:val="20"/>
              </w:rPr>
              <w:t xml:space="preserve"> </w:t>
            </w:r>
          </w:p>
        </w:tc>
      </w:tr>
      <w:tr w:rsidR="009231B4" w:rsidRPr="009231B4" w14:paraId="4F57D70A" w14:textId="77777777">
        <w:trPr>
          <w:trHeight w:val="638"/>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9F5551"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14:paraId="0898F63F"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6F2B7F10"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72B68125"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5E855DDA"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D6E6650" w14:textId="77777777" w:rsidR="00D14D27" w:rsidRPr="009231B4" w:rsidRDefault="00D74919">
            <w:pPr>
              <w:spacing w:after="0" w:line="259" w:lineRule="auto"/>
              <w:ind w:left="1" w:firstLine="0"/>
              <w:rPr>
                <w:color w:val="auto"/>
              </w:rPr>
            </w:pPr>
            <w:r w:rsidRPr="009231B4">
              <w:rPr>
                <w:color w:val="auto"/>
                <w:sz w:val="20"/>
              </w:rPr>
              <w:t xml:space="preserve"> </w:t>
            </w:r>
          </w:p>
        </w:tc>
      </w:tr>
      <w:tr w:rsidR="009231B4" w:rsidRPr="009231B4" w14:paraId="2FF54695" w14:textId="77777777">
        <w:trPr>
          <w:trHeight w:val="636"/>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E17B83"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14:paraId="204C4B79"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29F8369A"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32537D06"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47F0292B"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6368363A" w14:textId="77777777" w:rsidR="00D14D27" w:rsidRPr="009231B4" w:rsidRDefault="00D74919">
            <w:pPr>
              <w:spacing w:after="0" w:line="259" w:lineRule="auto"/>
              <w:ind w:left="1" w:firstLine="0"/>
              <w:rPr>
                <w:color w:val="auto"/>
              </w:rPr>
            </w:pPr>
            <w:r w:rsidRPr="009231B4">
              <w:rPr>
                <w:color w:val="auto"/>
                <w:sz w:val="20"/>
              </w:rPr>
              <w:t xml:space="preserve"> </w:t>
            </w:r>
          </w:p>
        </w:tc>
      </w:tr>
      <w:tr w:rsidR="009231B4" w:rsidRPr="009231B4" w14:paraId="590CC470" w14:textId="77777777">
        <w:trPr>
          <w:trHeight w:val="638"/>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A1911A"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14:paraId="24487D85"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0C042086"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156079EB"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3131D98E"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6073E45E" w14:textId="77777777" w:rsidR="00D14D27" w:rsidRPr="009231B4" w:rsidRDefault="00D74919">
            <w:pPr>
              <w:spacing w:after="0" w:line="259" w:lineRule="auto"/>
              <w:ind w:left="1" w:firstLine="0"/>
              <w:rPr>
                <w:color w:val="auto"/>
              </w:rPr>
            </w:pPr>
            <w:r w:rsidRPr="009231B4">
              <w:rPr>
                <w:color w:val="auto"/>
                <w:sz w:val="20"/>
              </w:rPr>
              <w:t xml:space="preserve"> </w:t>
            </w:r>
          </w:p>
        </w:tc>
      </w:tr>
      <w:tr w:rsidR="009231B4" w:rsidRPr="009231B4" w14:paraId="64EE021A" w14:textId="77777777">
        <w:trPr>
          <w:trHeight w:val="636"/>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D8D1CE"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14:paraId="6DF5B2DC"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05DB98C3"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5480279D"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537C8368"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6ACA10A9" w14:textId="77777777" w:rsidR="00D14D27" w:rsidRPr="009231B4" w:rsidRDefault="00D74919">
            <w:pPr>
              <w:spacing w:after="0" w:line="259" w:lineRule="auto"/>
              <w:ind w:left="1" w:firstLine="0"/>
              <w:rPr>
                <w:color w:val="auto"/>
              </w:rPr>
            </w:pPr>
            <w:r w:rsidRPr="009231B4">
              <w:rPr>
                <w:color w:val="auto"/>
                <w:sz w:val="20"/>
              </w:rPr>
              <w:t xml:space="preserve"> </w:t>
            </w:r>
          </w:p>
        </w:tc>
      </w:tr>
      <w:tr w:rsidR="009231B4" w:rsidRPr="009231B4" w14:paraId="5B965F54" w14:textId="77777777">
        <w:trPr>
          <w:trHeight w:val="636"/>
        </w:trPr>
        <w:tc>
          <w:tcPr>
            <w:tcW w:w="26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D39011"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14:paraId="644A8FE0"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1B7E6AF4" w14:textId="77777777" w:rsidR="00D14D27" w:rsidRPr="009231B4" w:rsidRDefault="00D74919">
            <w:pPr>
              <w:spacing w:after="0" w:line="259" w:lineRule="auto"/>
              <w:ind w:left="0" w:firstLine="0"/>
              <w:rPr>
                <w:color w:val="auto"/>
              </w:rPr>
            </w:pPr>
            <w:r w:rsidRPr="009231B4">
              <w:rPr>
                <w:color w:val="auto"/>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5BD9DFAA"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50667278" w14:textId="77777777" w:rsidR="00D14D27" w:rsidRPr="009231B4" w:rsidRDefault="00D74919">
            <w:pPr>
              <w:spacing w:after="0" w:line="259" w:lineRule="auto"/>
              <w:ind w:left="1" w:firstLine="0"/>
              <w:rPr>
                <w:color w:val="auto"/>
              </w:rPr>
            </w:pPr>
            <w:r w:rsidRPr="009231B4">
              <w:rPr>
                <w:color w:val="auto"/>
                <w:sz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05424D26" w14:textId="77777777" w:rsidR="00D14D27" w:rsidRPr="009231B4" w:rsidRDefault="00D74919">
            <w:pPr>
              <w:spacing w:after="0" w:line="259" w:lineRule="auto"/>
              <w:ind w:left="1" w:firstLine="0"/>
              <w:rPr>
                <w:color w:val="auto"/>
              </w:rPr>
            </w:pPr>
            <w:r w:rsidRPr="009231B4">
              <w:rPr>
                <w:color w:val="auto"/>
                <w:sz w:val="20"/>
              </w:rPr>
              <w:t xml:space="preserve"> </w:t>
            </w:r>
          </w:p>
        </w:tc>
      </w:tr>
    </w:tbl>
    <w:p w14:paraId="32D40005" w14:textId="77777777" w:rsidR="00D14D27" w:rsidRPr="009231B4" w:rsidRDefault="00D74919">
      <w:pPr>
        <w:spacing w:after="0" w:line="259" w:lineRule="auto"/>
        <w:ind w:left="0" w:firstLine="0"/>
        <w:jc w:val="both"/>
        <w:rPr>
          <w:color w:val="auto"/>
        </w:rPr>
      </w:pPr>
      <w:r w:rsidRPr="009231B4">
        <w:rPr>
          <w:color w:val="auto"/>
          <w:sz w:val="18"/>
        </w:rPr>
        <w:t xml:space="preserve">  </w:t>
      </w:r>
    </w:p>
    <w:sectPr w:rsidR="00D14D27" w:rsidRPr="009231B4">
      <w:footerReference w:type="even" r:id="rId16"/>
      <w:footerReference w:type="default" r:id="rId17"/>
      <w:footerReference w:type="first" r:id="rId18"/>
      <w:pgSz w:w="16838" w:h="11906" w:orient="landscape"/>
      <w:pgMar w:top="839" w:right="4979" w:bottom="913" w:left="720" w:header="720" w:footer="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73F70" w14:textId="77777777" w:rsidR="00000000" w:rsidRDefault="00D74919">
      <w:pPr>
        <w:spacing w:after="0" w:line="240" w:lineRule="auto"/>
      </w:pPr>
      <w:r>
        <w:separator/>
      </w:r>
    </w:p>
  </w:endnote>
  <w:endnote w:type="continuationSeparator" w:id="0">
    <w:p w14:paraId="3B4560E0" w14:textId="77777777" w:rsidR="00000000" w:rsidRDefault="00D74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D2C74" w14:textId="77777777" w:rsidR="00D14D27" w:rsidRDefault="00D74919">
    <w:pPr>
      <w:spacing w:after="0" w:line="259" w:lineRule="auto"/>
      <w:ind w:left="37" w:firstLine="0"/>
      <w:jc w:val="center"/>
    </w:pPr>
    <w:r>
      <w:rPr>
        <w:sz w:val="18"/>
      </w:rPr>
      <w:t xml:space="preserve"> </w:t>
    </w:r>
  </w:p>
  <w:p w14:paraId="517F3E46" w14:textId="77777777" w:rsidR="00D14D27" w:rsidRDefault="00D74919">
    <w:pPr>
      <w:spacing w:after="0" w:line="259" w:lineRule="auto"/>
      <w:ind w:left="0" w:right="17"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8EC4" w14:textId="77777777" w:rsidR="00D14D27" w:rsidRDefault="00D74919">
    <w:pPr>
      <w:spacing w:after="0" w:line="259" w:lineRule="auto"/>
      <w:ind w:left="37" w:firstLine="0"/>
      <w:jc w:val="center"/>
    </w:pPr>
    <w:r>
      <w:rPr>
        <w:sz w:val="18"/>
      </w:rPr>
      <w:t xml:space="preserve"> </w:t>
    </w:r>
  </w:p>
  <w:p w14:paraId="4E50BC89" w14:textId="77777777" w:rsidR="00D14D27" w:rsidRDefault="00D74919">
    <w:pPr>
      <w:spacing w:after="0" w:line="259" w:lineRule="auto"/>
      <w:ind w:left="0" w:right="17"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1084" w14:textId="77777777" w:rsidR="00D14D27" w:rsidRDefault="00D14D27">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F78A" w14:textId="77777777" w:rsidR="00D14D27" w:rsidRDefault="00D74919">
    <w:pPr>
      <w:spacing w:after="0" w:line="259" w:lineRule="auto"/>
      <w:ind w:left="4220" w:firstLine="0"/>
      <w:jc w:val="center"/>
    </w:pPr>
    <w:r>
      <w:rPr>
        <w:sz w:val="18"/>
      </w:rPr>
      <w:t xml:space="preserve"> </w:t>
    </w:r>
  </w:p>
  <w:p w14:paraId="6007284C" w14:textId="77777777" w:rsidR="00D14D27" w:rsidRDefault="00D74919">
    <w:pPr>
      <w:spacing w:after="0" w:line="259" w:lineRule="auto"/>
      <w:ind w:left="4161" w:firstLine="0"/>
      <w:jc w:val="center"/>
    </w:pPr>
    <w:r>
      <w:fldChar w:fldCharType="begin"/>
    </w:r>
    <w:r>
      <w:instrText xml:space="preserve"> PAGE   \* MERGEFORMAT </w:instrText>
    </w:r>
    <w:r>
      <w:fldChar w:fldCharType="separate"/>
    </w:r>
    <w:r>
      <w:rPr>
        <w:sz w:val="18"/>
      </w:rPr>
      <w:t>8</w:t>
    </w:r>
    <w:r>
      <w:rPr>
        <w:sz w:val="18"/>
      </w:rPr>
      <w:fldChar w:fldCharType="end"/>
    </w: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B64E" w14:textId="77777777" w:rsidR="00D14D27" w:rsidRDefault="00D74919">
    <w:pPr>
      <w:spacing w:after="0" w:line="259" w:lineRule="auto"/>
      <w:ind w:left="4220" w:firstLine="0"/>
      <w:jc w:val="center"/>
    </w:pPr>
    <w:r>
      <w:rPr>
        <w:sz w:val="18"/>
      </w:rPr>
      <w:t xml:space="preserve"> </w:t>
    </w:r>
  </w:p>
  <w:p w14:paraId="2BBF8A48" w14:textId="77777777" w:rsidR="00D14D27" w:rsidRDefault="00D74919">
    <w:pPr>
      <w:spacing w:after="0" w:line="259" w:lineRule="auto"/>
      <w:ind w:left="4161" w:firstLine="0"/>
      <w:jc w:val="center"/>
    </w:pPr>
    <w:r>
      <w:fldChar w:fldCharType="begin"/>
    </w:r>
    <w:r>
      <w:instrText xml:space="preserve"> PAGE   \* MERGEFORMAT </w:instrText>
    </w:r>
    <w:r>
      <w:fldChar w:fldCharType="separate"/>
    </w:r>
    <w:r>
      <w:rPr>
        <w:sz w:val="18"/>
      </w:rPr>
      <w:t>8</w:t>
    </w:r>
    <w:r>
      <w:rPr>
        <w:sz w:val="18"/>
      </w:rPr>
      <w:fldChar w:fldCharType="end"/>
    </w: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C6D5" w14:textId="77777777" w:rsidR="00D14D27" w:rsidRDefault="00D74919">
    <w:pPr>
      <w:spacing w:after="0" w:line="259" w:lineRule="auto"/>
      <w:ind w:left="4220" w:firstLine="0"/>
      <w:jc w:val="center"/>
    </w:pPr>
    <w:r>
      <w:rPr>
        <w:sz w:val="18"/>
      </w:rPr>
      <w:t xml:space="preserve"> </w:t>
    </w:r>
  </w:p>
  <w:p w14:paraId="0174ABBB" w14:textId="77777777" w:rsidR="00D14D27" w:rsidRDefault="00D74919">
    <w:pPr>
      <w:spacing w:after="0" w:line="259" w:lineRule="auto"/>
      <w:ind w:left="4161" w:firstLine="0"/>
      <w:jc w:val="center"/>
    </w:pPr>
    <w:r>
      <w:fldChar w:fldCharType="begin"/>
    </w:r>
    <w:r>
      <w:instrText xml:space="preserve"> PAGE   \* MERGEFORMAT </w:instrText>
    </w:r>
    <w:r>
      <w:fldChar w:fldCharType="separate"/>
    </w:r>
    <w:r>
      <w:rPr>
        <w:sz w:val="18"/>
      </w:rPr>
      <w:t>8</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185E1" w14:textId="77777777" w:rsidR="00000000" w:rsidRDefault="00D74919">
      <w:pPr>
        <w:spacing w:after="0" w:line="240" w:lineRule="auto"/>
      </w:pPr>
      <w:r>
        <w:separator/>
      </w:r>
    </w:p>
  </w:footnote>
  <w:footnote w:type="continuationSeparator" w:id="0">
    <w:p w14:paraId="6FD206A4" w14:textId="77777777" w:rsidR="00000000" w:rsidRDefault="00D749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0082"/>
    <w:multiLevelType w:val="hybridMultilevel"/>
    <w:tmpl w:val="47E0D080"/>
    <w:lvl w:ilvl="0" w:tplc="4798183C">
      <w:start w:val="1"/>
      <w:numFmt w:val="bullet"/>
      <w:lvlText w:val="•"/>
      <w:lvlJc w:val="left"/>
      <w:pPr>
        <w:ind w:left="72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09043174">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AC720ED0">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B4162E9E">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B6EC1E1C">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A10823EC">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7152BBA0">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5D4204B6">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262E2B1A">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 w15:restartNumberingAfterBreak="0">
    <w:nsid w:val="10891DA5"/>
    <w:multiLevelType w:val="hybridMultilevel"/>
    <w:tmpl w:val="FCBE96C0"/>
    <w:lvl w:ilvl="0" w:tplc="C89804B6">
      <w:start w:val="1"/>
      <w:numFmt w:val="bullet"/>
      <w:lvlText w:val="•"/>
      <w:lvlJc w:val="left"/>
      <w:pPr>
        <w:ind w:left="716"/>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FC80682E">
      <w:start w:val="1"/>
      <w:numFmt w:val="bullet"/>
      <w:lvlText w:val="o"/>
      <w:lvlJc w:val="left"/>
      <w:pPr>
        <w:ind w:left="144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02221EA2">
      <w:start w:val="1"/>
      <w:numFmt w:val="bullet"/>
      <w:lvlText w:val="▪"/>
      <w:lvlJc w:val="left"/>
      <w:pPr>
        <w:ind w:left="216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90E06C2C">
      <w:start w:val="1"/>
      <w:numFmt w:val="bullet"/>
      <w:lvlText w:val="•"/>
      <w:lvlJc w:val="left"/>
      <w:pPr>
        <w:ind w:left="288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5EA099FA">
      <w:start w:val="1"/>
      <w:numFmt w:val="bullet"/>
      <w:lvlText w:val="o"/>
      <w:lvlJc w:val="left"/>
      <w:pPr>
        <w:ind w:left="360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9F643CAE">
      <w:start w:val="1"/>
      <w:numFmt w:val="bullet"/>
      <w:lvlText w:val="▪"/>
      <w:lvlJc w:val="left"/>
      <w:pPr>
        <w:ind w:left="432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67F0CC36">
      <w:start w:val="1"/>
      <w:numFmt w:val="bullet"/>
      <w:lvlText w:val="•"/>
      <w:lvlJc w:val="left"/>
      <w:pPr>
        <w:ind w:left="504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B216672A">
      <w:start w:val="1"/>
      <w:numFmt w:val="bullet"/>
      <w:lvlText w:val="o"/>
      <w:lvlJc w:val="left"/>
      <w:pPr>
        <w:ind w:left="576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27008AC2">
      <w:start w:val="1"/>
      <w:numFmt w:val="bullet"/>
      <w:lvlText w:val="▪"/>
      <w:lvlJc w:val="left"/>
      <w:pPr>
        <w:ind w:left="648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2" w15:restartNumberingAfterBreak="0">
    <w:nsid w:val="11076699"/>
    <w:multiLevelType w:val="hybridMultilevel"/>
    <w:tmpl w:val="8F4CDCE2"/>
    <w:lvl w:ilvl="0" w:tplc="6B3AEFB2">
      <w:start w:val="1"/>
      <w:numFmt w:val="bullet"/>
      <w:lvlText w:val="•"/>
      <w:lvlJc w:val="left"/>
      <w:pPr>
        <w:ind w:left="72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20BE78A4">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C19E4E68">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5C6631D2">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D6EEE598">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86C22678">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277E9882">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29DEAE7A">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28FEEBF6">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3" w15:restartNumberingAfterBreak="0">
    <w:nsid w:val="2C627521"/>
    <w:multiLevelType w:val="hybridMultilevel"/>
    <w:tmpl w:val="96A8349A"/>
    <w:lvl w:ilvl="0" w:tplc="83E2F014">
      <w:start w:val="1"/>
      <w:numFmt w:val="bullet"/>
      <w:lvlText w:val="•"/>
      <w:lvlJc w:val="left"/>
      <w:pPr>
        <w:ind w:left="72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F942FB56">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A54CF67C">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B2F4DCB6">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B3427ACC">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4344D958">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AF2010E6">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A6A0DBF0">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3026A038">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4" w15:restartNumberingAfterBreak="0">
    <w:nsid w:val="391F1CE9"/>
    <w:multiLevelType w:val="hybridMultilevel"/>
    <w:tmpl w:val="BF68A236"/>
    <w:lvl w:ilvl="0" w:tplc="60EA8B7A">
      <w:start w:val="1"/>
      <w:numFmt w:val="bullet"/>
      <w:lvlText w:val="•"/>
      <w:lvlJc w:val="left"/>
      <w:pPr>
        <w:ind w:left="72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2AF09D7A">
      <w:start w:val="1"/>
      <w:numFmt w:val="bullet"/>
      <w:lvlText w:val="o"/>
      <w:lvlJc w:val="left"/>
      <w:pPr>
        <w:ind w:left="1454"/>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CE62332A">
      <w:start w:val="1"/>
      <w:numFmt w:val="bullet"/>
      <w:lvlText w:val="▪"/>
      <w:lvlJc w:val="left"/>
      <w:pPr>
        <w:ind w:left="2174"/>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2BA60218">
      <w:start w:val="1"/>
      <w:numFmt w:val="bullet"/>
      <w:lvlText w:val="•"/>
      <w:lvlJc w:val="left"/>
      <w:pPr>
        <w:ind w:left="2894"/>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8DF2131A">
      <w:start w:val="1"/>
      <w:numFmt w:val="bullet"/>
      <w:lvlText w:val="o"/>
      <w:lvlJc w:val="left"/>
      <w:pPr>
        <w:ind w:left="3614"/>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24F2C6F6">
      <w:start w:val="1"/>
      <w:numFmt w:val="bullet"/>
      <w:lvlText w:val="▪"/>
      <w:lvlJc w:val="left"/>
      <w:pPr>
        <w:ind w:left="4334"/>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800001CA">
      <w:start w:val="1"/>
      <w:numFmt w:val="bullet"/>
      <w:lvlText w:val="•"/>
      <w:lvlJc w:val="left"/>
      <w:pPr>
        <w:ind w:left="5054"/>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F0A6B002">
      <w:start w:val="1"/>
      <w:numFmt w:val="bullet"/>
      <w:lvlText w:val="o"/>
      <w:lvlJc w:val="left"/>
      <w:pPr>
        <w:ind w:left="5774"/>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C7E2A952">
      <w:start w:val="1"/>
      <w:numFmt w:val="bullet"/>
      <w:lvlText w:val="▪"/>
      <w:lvlJc w:val="left"/>
      <w:pPr>
        <w:ind w:left="6494"/>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5" w15:restartNumberingAfterBreak="0">
    <w:nsid w:val="69081DD8"/>
    <w:multiLevelType w:val="hybridMultilevel"/>
    <w:tmpl w:val="54129D26"/>
    <w:lvl w:ilvl="0" w:tplc="624A1592">
      <w:start w:val="1"/>
      <w:numFmt w:val="bullet"/>
      <w:lvlText w:val="•"/>
      <w:lvlJc w:val="left"/>
      <w:pPr>
        <w:ind w:left="72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0A362216">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044A0B28">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39443976">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D10AF052">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10DC1B88">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8E7484EC">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C33206BC">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BE44B5C2">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6" w15:restartNumberingAfterBreak="0">
    <w:nsid w:val="6CD273D4"/>
    <w:multiLevelType w:val="hybridMultilevel"/>
    <w:tmpl w:val="A33CA866"/>
    <w:lvl w:ilvl="0" w:tplc="F75C0B5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904C0C">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CA0690">
      <w:start w:val="1"/>
      <w:numFmt w:val="bullet"/>
      <w:lvlText w:val="▪"/>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3417E0">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34E006">
      <w:start w:val="1"/>
      <w:numFmt w:val="bullet"/>
      <w:lvlText w:val="o"/>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AAD4C2">
      <w:start w:val="1"/>
      <w:numFmt w:val="bullet"/>
      <w:lvlText w:val="▪"/>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DE7B32">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F26A1C">
      <w:start w:val="1"/>
      <w:numFmt w:val="bullet"/>
      <w:lvlText w:val="o"/>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5C724C">
      <w:start w:val="1"/>
      <w:numFmt w:val="bullet"/>
      <w:lvlText w:val="▪"/>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E0D35B7"/>
    <w:multiLevelType w:val="hybridMultilevel"/>
    <w:tmpl w:val="CEA8A2CC"/>
    <w:lvl w:ilvl="0" w:tplc="EE105A66">
      <w:start w:val="1"/>
      <w:numFmt w:val="bullet"/>
      <w:lvlText w:val="•"/>
      <w:lvlJc w:val="left"/>
      <w:pPr>
        <w:ind w:left="716"/>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5ADE676E">
      <w:start w:val="1"/>
      <w:numFmt w:val="bullet"/>
      <w:lvlText w:val="o"/>
      <w:lvlJc w:val="left"/>
      <w:pPr>
        <w:ind w:left="143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79681DAE">
      <w:start w:val="1"/>
      <w:numFmt w:val="bullet"/>
      <w:lvlText w:val="▪"/>
      <w:lvlJc w:val="left"/>
      <w:pPr>
        <w:ind w:left="215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1FD81A6A">
      <w:start w:val="1"/>
      <w:numFmt w:val="bullet"/>
      <w:lvlText w:val="•"/>
      <w:lvlJc w:val="left"/>
      <w:pPr>
        <w:ind w:left="287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CA666290">
      <w:start w:val="1"/>
      <w:numFmt w:val="bullet"/>
      <w:lvlText w:val="o"/>
      <w:lvlJc w:val="left"/>
      <w:pPr>
        <w:ind w:left="359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C07840C2">
      <w:start w:val="1"/>
      <w:numFmt w:val="bullet"/>
      <w:lvlText w:val="▪"/>
      <w:lvlJc w:val="left"/>
      <w:pPr>
        <w:ind w:left="431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A9ACCE92">
      <w:start w:val="1"/>
      <w:numFmt w:val="bullet"/>
      <w:lvlText w:val="•"/>
      <w:lvlJc w:val="left"/>
      <w:pPr>
        <w:ind w:left="503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6780FDAC">
      <w:start w:val="1"/>
      <w:numFmt w:val="bullet"/>
      <w:lvlText w:val="o"/>
      <w:lvlJc w:val="left"/>
      <w:pPr>
        <w:ind w:left="575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5B8ED0EE">
      <w:start w:val="1"/>
      <w:numFmt w:val="bullet"/>
      <w:lvlText w:val="▪"/>
      <w:lvlJc w:val="left"/>
      <w:pPr>
        <w:ind w:left="647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8" w15:restartNumberingAfterBreak="0">
    <w:nsid w:val="770C4C85"/>
    <w:multiLevelType w:val="hybridMultilevel"/>
    <w:tmpl w:val="959E607C"/>
    <w:lvl w:ilvl="0" w:tplc="EE889BAA">
      <w:start w:val="1"/>
      <w:numFmt w:val="bullet"/>
      <w:lvlText w:val="•"/>
      <w:lvlJc w:val="left"/>
      <w:pPr>
        <w:ind w:left="72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6E80BBB0">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F4B6828E">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1966A27A">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B9A215CE">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E0A8160A">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DA8011A8">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B31A863C">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46CC711C">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9" w15:restartNumberingAfterBreak="0">
    <w:nsid w:val="7D451BF0"/>
    <w:multiLevelType w:val="hybridMultilevel"/>
    <w:tmpl w:val="D70C8F4E"/>
    <w:lvl w:ilvl="0" w:tplc="4CFCB70C">
      <w:start w:val="1"/>
      <w:numFmt w:val="bullet"/>
      <w:lvlText w:val="•"/>
      <w:lvlJc w:val="left"/>
      <w:pPr>
        <w:ind w:left="716"/>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C1CA10FC">
      <w:start w:val="1"/>
      <w:numFmt w:val="bullet"/>
      <w:lvlText w:val="o"/>
      <w:lvlJc w:val="left"/>
      <w:pPr>
        <w:ind w:left="143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F7728960">
      <w:start w:val="1"/>
      <w:numFmt w:val="bullet"/>
      <w:lvlText w:val="▪"/>
      <w:lvlJc w:val="left"/>
      <w:pPr>
        <w:ind w:left="215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A1D4DB1C">
      <w:start w:val="1"/>
      <w:numFmt w:val="bullet"/>
      <w:lvlText w:val="•"/>
      <w:lvlJc w:val="left"/>
      <w:pPr>
        <w:ind w:left="287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734A5610">
      <w:start w:val="1"/>
      <w:numFmt w:val="bullet"/>
      <w:lvlText w:val="o"/>
      <w:lvlJc w:val="left"/>
      <w:pPr>
        <w:ind w:left="359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21087C9C">
      <w:start w:val="1"/>
      <w:numFmt w:val="bullet"/>
      <w:lvlText w:val="▪"/>
      <w:lvlJc w:val="left"/>
      <w:pPr>
        <w:ind w:left="431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DBD89886">
      <w:start w:val="1"/>
      <w:numFmt w:val="bullet"/>
      <w:lvlText w:val="•"/>
      <w:lvlJc w:val="left"/>
      <w:pPr>
        <w:ind w:left="50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B95473A0">
      <w:start w:val="1"/>
      <w:numFmt w:val="bullet"/>
      <w:lvlText w:val="o"/>
      <w:lvlJc w:val="left"/>
      <w:pPr>
        <w:ind w:left="575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3C2E3288">
      <w:start w:val="1"/>
      <w:numFmt w:val="bullet"/>
      <w:lvlText w:val="▪"/>
      <w:lvlJc w:val="left"/>
      <w:pPr>
        <w:ind w:left="647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0" w15:restartNumberingAfterBreak="0">
    <w:nsid w:val="7E792B71"/>
    <w:multiLevelType w:val="hybridMultilevel"/>
    <w:tmpl w:val="85B4AAD2"/>
    <w:lvl w:ilvl="0" w:tplc="B56452C8">
      <w:start w:val="1"/>
      <w:numFmt w:val="bullet"/>
      <w:lvlText w:val="•"/>
      <w:lvlJc w:val="left"/>
      <w:pPr>
        <w:ind w:left="721"/>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56E63FD4">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28FA42C0">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478646CA">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32C62C4A">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9B745A28">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2D4E647C">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52FE4260">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CF0CA9CA">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num w:numId="1">
    <w:abstractNumId w:val="0"/>
  </w:num>
  <w:num w:numId="2">
    <w:abstractNumId w:val="8"/>
  </w:num>
  <w:num w:numId="3">
    <w:abstractNumId w:val="6"/>
  </w:num>
  <w:num w:numId="4">
    <w:abstractNumId w:val="4"/>
  </w:num>
  <w:num w:numId="5">
    <w:abstractNumId w:val="1"/>
  </w:num>
  <w:num w:numId="6">
    <w:abstractNumId w:val="7"/>
  </w:num>
  <w:num w:numId="7">
    <w:abstractNumId w:val="9"/>
  </w:num>
  <w:num w:numId="8">
    <w:abstractNumId w:val="10"/>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D27"/>
    <w:rsid w:val="009231B4"/>
    <w:rsid w:val="00D14D27"/>
    <w:rsid w:val="00D74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F9278"/>
  <w15:docId w15:val="{8CA0D391-6E78-49F6-AFBC-B4FDD7B1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48" w:lineRule="auto"/>
      <w:ind w:left="15" w:firstLine="5"/>
    </w:pPr>
    <w:rPr>
      <w:rFonts w:ascii="Tahoma" w:eastAsia="Tahoma" w:hAnsi="Tahoma" w:cs="Tahoma"/>
      <w:color w:val="000000"/>
    </w:rPr>
  </w:style>
  <w:style w:type="paragraph" w:styleId="Heading1">
    <w:name w:val="heading 1"/>
    <w:next w:val="Normal"/>
    <w:link w:val="Heading1Char"/>
    <w:uiPriority w:val="9"/>
    <w:qFormat/>
    <w:pPr>
      <w:keepNext/>
      <w:keepLines/>
      <w:spacing w:after="195"/>
      <w:ind w:left="25" w:hanging="10"/>
      <w:outlineLvl w:val="0"/>
    </w:pPr>
    <w:rPr>
      <w:rFonts w:ascii="Tahoma" w:eastAsia="Tahoma" w:hAnsi="Tahoma" w:cs="Tahoma"/>
      <w:b/>
      <w:color w:val="003399"/>
      <w:sz w:val="24"/>
    </w:rPr>
  </w:style>
  <w:style w:type="paragraph" w:styleId="Heading2">
    <w:name w:val="heading 2"/>
    <w:next w:val="Normal"/>
    <w:link w:val="Heading2Char"/>
    <w:uiPriority w:val="9"/>
    <w:unhideWhenUsed/>
    <w:qFormat/>
    <w:pPr>
      <w:keepNext/>
      <w:keepLines/>
      <w:spacing w:after="96"/>
      <w:ind w:left="384" w:hanging="10"/>
      <w:outlineLvl w:val="1"/>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3399"/>
      <w:sz w:val="24"/>
    </w:rPr>
  </w:style>
  <w:style w:type="character" w:customStyle="1" w:styleId="Heading2Char">
    <w:name w:val="Heading 2 Char"/>
    <w:link w:val="Heading2"/>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jcq.org.uk/exams-office/general-regulations/" TargetMode="Externa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ico.org.uk/for-the-public/schools/exam-results/"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the-public/schools/exam-results/"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jcq.org.uk/about-a2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cq.org.uk/exams-office/general-regulation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2492</Words>
  <Characters>14208</Characters>
  <Application>Microsoft Office Word</Application>
  <DocSecurity>0</DocSecurity>
  <Lines>118</Lines>
  <Paragraphs>33</Paragraphs>
  <ScaleCrop>false</ScaleCrop>
  <Company/>
  <LinksUpToDate>false</LinksUpToDate>
  <CharactersWithSpaces>16667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Exams archiving policy</dc:title>
  <dc:subject>This policy is reviewed annually to ensure compliance with current regulations</dc:subject>
  <dc:creator>localuser</dc:creator>
  <cp:keywords/>
  <cp:lastModifiedBy>head, deputy</cp:lastModifiedBy>
  <cp:revision>3</cp:revision>
  <dcterms:created xsi:type="dcterms:W3CDTF">2026-05-19T13:50:00Z</dcterms:created>
  <dcterms:modified xsi:type="dcterms:W3CDTF">2026-05-19T13:51:00Z</dcterms:modified>
</cp:coreProperties>
</file>