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EC11" w14:textId="70D85014" w:rsidR="00240E16" w:rsidRDefault="00240E16" w:rsidP="00240E16">
      <w:r>
        <w:rPr>
          <w:noProof/>
        </w:rPr>
        <mc:AlternateContent>
          <mc:Choice Requires="wps">
            <w:drawing>
              <wp:anchor distT="0" distB="0" distL="114300" distR="114300" simplePos="0" relativeHeight="251659264" behindDoc="0" locked="0" layoutInCell="1" allowOverlap="1" wp14:anchorId="277108C7" wp14:editId="5E797B80">
                <wp:simplePos x="0" y="0"/>
                <wp:positionH relativeFrom="page">
                  <wp:posOffset>-9525</wp:posOffset>
                </wp:positionH>
                <wp:positionV relativeFrom="paragraph">
                  <wp:posOffset>-467360</wp:posOffset>
                </wp:positionV>
                <wp:extent cx="1067752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677525" cy="581025"/>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D9A1F" id="Rectangle 2" o:spid="_x0000_s1026" style="position:absolute;margin-left:-.75pt;margin-top:-36.8pt;width:840.75pt;height:45.7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" fillcolor="#5b9bd5 [3208]" strokecolor="#5b9bd5 [3208]" strokeweight="1pt">
                <w10:wrap anchorx="page"/>
              </v:rect>
            </w:pict>
          </mc:Fallback>
        </mc:AlternateContent>
      </w:r>
      <w:r>
        <w:rPr>
          <w:noProof/>
        </w:rPr>
        <w:drawing>
          <wp:anchor distT="0" distB="0" distL="114300" distR="114300" simplePos="0" relativeHeight="251660288" behindDoc="0" locked="0" layoutInCell="1" allowOverlap="1" wp14:anchorId="42CDF6DB" wp14:editId="044B95E8">
            <wp:simplePos x="0" y="0"/>
            <wp:positionH relativeFrom="column">
              <wp:posOffset>-342900</wp:posOffset>
            </wp:positionH>
            <wp:positionV relativeFrom="paragraph">
              <wp:posOffset>-686435</wp:posOffset>
            </wp:positionV>
            <wp:extent cx="1343025" cy="1018540"/>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5">
                      <a:extLst>
                        <a:ext uri="{28A0092B-C50C-407E-A947-70E740481C1C}">
                          <a14:useLocalDpi xmlns:a14="http://schemas.microsoft.com/office/drawing/2010/main" val="0"/>
                        </a:ext>
                      </a:extLst>
                    </a:blip>
                    <a:stretch>
                      <a:fillRect/>
                    </a:stretch>
                  </pic:blipFill>
                  <pic:spPr>
                    <a:xfrm>
                      <a:off x="0" y="0"/>
                      <a:ext cx="1343025" cy="1018540"/>
                    </a:xfrm>
                    <a:prstGeom prst="rect">
                      <a:avLst/>
                    </a:prstGeom>
                  </pic:spPr>
                </pic:pic>
              </a:graphicData>
            </a:graphic>
            <wp14:sizeRelH relativeFrom="page">
              <wp14:pctWidth>0</wp14:pctWidth>
            </wp14:sizeRelH>
            <wp14:sizeRelV relativeFrom="page">
              <wp14:pctHeight>0</wp14:pctHeight>
            </wp14:sizeRelV>
          </wp:anchor>
        </w:drawing>
      </w:r>
    </w:p>
    <w:p w14:paraId="37E7FAF1" w14:textId="77777777" w:rsidR="00F0635D" w:rsidRDefault="00F0635D" w:rsidP="00F0635D"/>
    <w:p w14:paraId="1129941E" w14:textId="0306D362" w:rsidR="00240E16" w:rsidRPr="00F0635D" w:rsidRDefault="00F0635D" w:rsidP="00F0635D">
      <w:pPr>
        <w:rPr>
          <w:b/>
          <w:bCs/>
          <w:sz w:val="44"/>
          <w:szCs w:val="44"/>
          <w:u w:val="single"/>
        </w:rPr>
      </w:pPr>
      <w:r w:rsidRPr="00F0635D">
        <w:rPr>
          <w:b/>
          <w:bCs/>
          <w:sz w:val="44"/>
          <w:szCs w:val="44"/>
          <w:u w:val="single"/>
        </w:rPr>
        <w:t>3 Year Long Term Overview</w:t>
      </w:r>
    </w:p>
    <w:tbl>
      <w:tblPr>
        <w:tblStyle w:val="TableGrid"/>
        <w:tblW w:w="0" w:type="auto"/>
        <w:tblLook w:val="04A0" w:firstRow="1" w:lastRow="0" w:firstColumn="1" w:lastColumn="0" w:noHBand="0" w:noVBand="1"/>
      </w:tblPr>
      <w:tblGrid>
        <w:gridCol w:w="3477"/>
        <w:gridCol w:w="3478"/>
        <w:gridCol w:w="3478"/>
        <w:gridCol w:w="3479"/>
      </w:tblGrid>
      <w:tr w:rsidR="00240E16" w:rsidRPr="00240E16" w14:paraId="1CC1F4BA" w14:textId="77777777" w:rsidTr="00F0635D">
        <w:tc>
          <w:tcPr>
            <w:tcW w:w="3477" w:type="dxa"/>
            <w:tcBorders>
              <w:top w:val="single" w:sz="18" w:space="0" w:color="auto"/>
              <w:left w:val="single" w:sz="18" w:space="0" w:color="auto"/>
              <w:bottom w:val="single" w:sz="18" w:space="0" w:color="auto"/>
              <w:right w:val="single" w:sz="18" w:space="0" w:color="auto"/>
            </w:tcBorders>
            <w:shd w:val="clear" w:color="auto" w:fill="auto"/>
          </w:tcPr>
          <w:p w14:paraId="55020CC4" w14:textId="1F47F4DE" w:rsidR="00240E16" w:rsidRPr="00240E16" w:rsidRDefault="00F0635D" w:rsidP="00240E16">
            <w:pPr>
              <w:jc w:val="center"/>
              <w:rPr>
                <w:b/>
                <w:bCs/>
                <w:sz w:val="40"/>
                <w:szCs w:val="40"/>
              </w:rPr>
            </w:pPr>
            <w:r>
              <w:rPr>
                <w:b/>
                <w:bCs/>
                <w:sz w:val="40"/>
                <w:szCs w:val="40"/>
              </w:rPr>
              <w:t>Subject</w:t>
            </w:r>
          </w:p>
        </w:tc>
        <w:tc>
          <w:tcPr>
            <w:tcW w:w="3478" w:type="dxa"/>
            <w:tcBorders>
              <w:top w:val="single" w:sz="18" w:space="0" w:color="auto"/>
              <w:left w:val="single" w:sz="18" w:space="0" w:color="auto"/>
              <w:bottom w:val="single" w:sz="18" w:space="0" w:color="auto"/>
              <w:right w:val="single" w:sz="18" w:space="0" w:color="auto"/>
            </w:tcBorders>
            <w:shd w:val="clear" w:color="auto" w:fill="C45911" w:themeFill="accent2" w:themeFillShade="BF"/>
          </w:tcPr>
          <w:p w14:paraId="4AB097F7" w14:textId="02D08BEE" w:rsidR="00240E16" w:rsidRPr="00240E16" w:rsidRDefault="00240E16" w:rsidP="00240E16">
            <w:pPr>
              <w:jc w:val="center"/>
              <w:rPr>
                <w:b/>
                <w:bCs/>
                <w:sz w:val="40"/>
                <w:szCs w:val="40"/>
              </w:rPr>
            </w:pPr>
            <w:r w:rsidRPr="00240E16">
              <w:rPr>
                <w:b/>
                <w:bCs/>
                <w:sz w:val="40"/>
                <w:szCs w:val="40"/>
              </w:rPr>
              <w:t>Autumn Term Theme</w:t>
            </w:r>
          </w:p>
        </w:tc>
        <w:tc>
          <w:tcPr>
            <w:tcW w:w="3478" w:type="dxa"/>
            <w:tcBorders>
              <w:top w:val="single" w:sz="18" w:space="0" w:color="auto"/>
              <w:left w:val="single" w:sz="18" w:space="0" w:color="auto"/>
              <w:bottom w:val="single" w:sz="18" w:space="0" w:color="auto"/>
              <w:right w:val="single" w:sz="18" w:space="0" w:color="auto"/>
            </w:tcBorders>
            <w:shd w:val="clear" w:color="auto" w:fill="BF8F00" w:themeFill="accent4" w:themeFillShade="BF"/>
          </w:tcPr>
          <w:p w14:paraId="206A1DE8" w14:textId="77777777" w:rsidR="00240E16" w:rsidRDefault="00240E16" w:rsidP="00240E16">
            <w:pPr>
              <w:jc w:val="center"/>
              <w:rPr>
                <w:b/>
                <w:bCs/>
                <w:sz w:val="40"/>
                <w:szCs w:val="40"/>
              </w:rPr>
            </w:pPr>
            <w:r w:rsidRPr="00240E16">
              <w:rPr>
                <w:b/>
                <w:bCs/>
                <w:sz w:val="40"/>
                <w:szCs w:val="40"/>
              </w:rPr>
              <w:t>Spring Term</w:t>
            </w:r>
          </w:p>
          <w:p w14:paraId="73C2B39F" w14:textId="70C06831" w:rsidR="00240E16" w:rsidRPr="00240E16" w:rsidRDefault="00240E16" w:rsidP="00240E16">
            <w:pPr>
              <w:jc w:val="center"/>
              <w:rPr>
                <w:b/>
                <w:bCs/>
                <w:sz w:val="40"/>
                <w:szCs w:val="40"/>
              </w:rPr>
            </w:pPr>
            <w:r w:rsidRPr="00240E16">
              <w:rPr>
                <w:b/>
                <w:bCs/>
                <w:sz w:val="40"/>
                <w:szCs w:val="40"/>
              </w:rPr>
              <w:t>Theme</w:t>
            </w:r>
          </w:p>
        </w:tc>
        <w:tc>
          <w:tcPr>
            <w:tcW w:w="3479" w:type="dxa"/>
            <w:tcBorders>
              <w:top w:val="single" w:sz="18" w:space="0" w:color="auto"/>
              <w:left w:val="single" w:sz="18" w:space="0" w:color="auto"/>
              <w:bottom w:val="single" w:sz="18" w:space="0" w:color="auto"/>
              <w:right w:val="single" w:sz="18" w:space="0" w:color="auto"/>
            </w:tcBorders>
            <w:shd w:val="clear" w:color="auto" w:fill="538135" w:themeFill="accent6" w:themeFillShade="BF"/>
          </w:tcPr>
          <w:p w14:paraId="0F71D340" w14:textId="060E10FE" w:rsidR="00240E16" w:rsidRPr="00240E16" w:rsidRDefault="00240E16" w:rsidP="00240E16">
            <w:pPr>
              <w:jc w:val="center"/>
              <w:rPr>
                <w:b/>
                <w:bCs/>
                <w:sz w:val="40"/>
                <w:szCs w:val="40"/>
              </w:rPr>
            </w:pPr>
            <w:r w:rsidRPr="00240E16">
              <w:rPr>
                <w:b/>
                <w:bCs/>
                <w:sz w:val="40"/>
                <w:szCs w:val="40"/>
              </w:rPr>
              <w:t>Summer Term Theme</w:t>
            </w:r>
          </w:p>
        </w:tc>
      </w:tr>
      <w:tr w:rsidR="00240E16" w:rsidRPr="00240E16" w14:paraId="40D3CA75" w14:textId="77777777" w:rsidTr="00B04ADC">
        <w:tc>
          <w:tcPr>
            <w:tcW w:w="3477" w:type="dxa"/>
            <w:tcBorders>
              <w:top w:val="single" w:sz="18" w:space="0" w:color="auto"/>
              <w:left w:val="single" w:sz="18" w:space="0" w:color="auto"/>
              <w:bottom w:val="single" w:sz="18" w:space="0" w:color="auto"/>
              <w:right w:val="single" w:sz="18" w:space="0" w:color="auto"/>
            </w:tcBorders>
            <w:shd w:val="clear" w:color="auto" w:fill="auto"/>
            <w:vAlign w:val="center"/>
          </w:tcPr>
          <w:p w14:paraId="57D63911" w14:textId="4BB20A3D" w:rsidR="00240E16" w:rsidRPr="00B55F93" w:rsidRDefault="00B04ADC" w:rsidP="00B55F93">
            <w:pPr>
              <w:jc w:val="center"/>
              <w:rPr>
                <w:b/>
                <w:bCs/>
                <w:sz w:val="40"/>
                <w:szCs w:val="40"/>
              </w:rPr>
            </w:pPr>
            <w:r>
              <w:rPr>
                <w:b/>
                <w:bCs/>
                <w:sz w:val="40"/>
                <w:szCs w:val="40"/>
              </w:rPr>
              <w:t>Year 1</w:t>
            </w:r>
          </w:p>
        </w:tc>
        <w:tc>
          <w:tcPr>
            <w:tcW w:w="347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EB9D7C4" w14:textId="77777777" w:rsidR="00240E16" w:rsidRPr="00F0635D" w:rsidRDefault="00B425BB" w:rsidP="00F0635D">
            <w:pPr>
              <w:jc w:val="center"/>
              <w:rPr>
                <w:b/>
                <w:bCs/>
                <w:i/>
                <w:iCs/>
                <w:sz w:val="24"/>
                <w:szCs w:val="24"/>
              </w:rPr>
            </w:pPr>
            <w:r w:rsidRPr="00F0635D">
              <w:rPr>
                <w:b/>
                <w:bCs/>
                <w:i/>
                <w:iCs/>
                <w:sz w:val="24"/>
                <w:szCs w:val="24"/>
              </w:rPr>
              <w:t>Fair Trade</w:t>
            </w:r>
          </w:p>
          <w:p w14:paraId="6A14DE04" w14:textId="77777777" w:rsidR="00B04ADC" w:rsidRPr="00B04ADC" w:rsidRDefault="00B04ADC" w:rsidP="00B04ADC">
            <w:pPr>
              <w:jc w:val="center"/>
            </w:pPr>
            <w:r w:rsidRPr="00B04ADC">
              <w:t>Exploring and experiencing the use of colour/mark making and tonal work.</w:t>
            </w:r>
          </w:p>
          <w:p w14:paraId="4FC4FFA1" w14:textId="18BF9F86" w:rsidR="00B55F93" w:rsidRDefault="00B04ADC" w:rsidP="00B04ADC">
            <w:pPr>
              <w:jc w:val="center"/>
            </w:pPr>
            <w:r w:rsidRPr="00B04ADC">
              <w:t>Developing skills in using paint/pencil/pen/charcoal and graphite</w:t>
            </w:r>
          </w:p>
          <w:p w14:paraId="0A5785B0" w14:textId="44A68F04" w:rsidR="00CB485D" w:rsidRPr="00B04ADC" w:rsidRDefault="00CB485D" w:rsidP="00B04ADC">
            <w:pPr>
              <w:jc w:val="center"/>
            </w:pPr>
            <w:r>
              <w:t xml:space="preserve">Explore the works of </w:t>
            </w:r>
            <w:r w:rsidRPr="00CB485D">
              <w:t>Harriet Powers and Sayaka Ganz</w:t>
            </w:r>
          </w:p>
          <w:p w14:paraId="5058358A" w14:textId="2DDE99F4" w:rsidR="00F0635D" w:rsidRPr="00F0635D" w:rsidRDefault="00F0635D" w:rsidP="00F0635D">
            <w:pPr>
              <w:jc w:val="center"/>
              <w:rPr>
                <w:b/>
                <w:bCs/>
                <w:i/>
                <w:iCs/>
                <w:sz w:val="24"/>
                <w:szCs w:val="24"/>
              </w:rPr>
            </w:pPr>
          </w:p>
        </w:tc>
        <w:tc>
          <w:tcPr>
            <w:tcW w:w="3478"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1EEC1A17" w14:textId="77777777" w:rsidR="00B425BB" w:rsidRDefault="00C93A1E" w:rsidP="00F0635D">
            <w:pPr>
              <w:jc w:val="center"/>
              <w:rPr>
                <w:b/>
                <w:bCs/>
                <w:i/>
                <w:iCs/>
                <w:sz w:val="24"/>
                <w:szCs w:val="24"/>
              </w:rPr>
            </w:pPr>
            <w:r w:rsidRPr="00F0635D">
              <w:rPr>
                <w:b/>
                <w:bCs/>
                <w:i/>
                <w:iCs/>
                <w:sz w:val="24"/>
                <w:szCs w:val="24"/>
              </w:rPr>
              <w:t>My Environment</w:t>
            </w:r>
          </w:p>
          <w:p w14:paraId="630ACC57" w14:textId="294AD482" w:rsidR="00CB485D" w:rsidRPr="00CB485D" w:rsidRDefault="00CB485D" w:rsidP="00CB485D">
            <w:pPr>
              <w:jc w:val="center"/>
            </w:pPr>
            <w:r w:rsidRPr="00CB485D">
              <w:t>Students will work together to express themselves through artwork inspired by Andy Goldsworthy and based around the story ‘The Dot’. They will use their artwork to promote mental health week by displaying their work around their local community (home, school, local businesses, and places within the environment).</w:t>
            </w:r>
          </w:p>
        </w:tc>
        <w:tc>
          <w:tcPr>
            <w:tcW w:w="3479"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7FA214BB" w14:textId="77777777" w:rsidR="00B425BB" w:rsidRDefault="00B425BB" w:rsidP="00F0635D">
            <w:pPr>
              <w:jc w:val="center"/>
              <w:rPr>
                <w:b/>
                <w:bCs/>
                <w:i/>
                <w:iCs/>
                <w:sz w:val="24"/>
                <w:szCs w:val="24"/>
              </w:rPr>
            </w:pPr>
            <w:r w:rsidRPr="00F0635D">
              <w:rPr>
                <w:b/>
                <w:bCs/>
                <w:i/>
                <w:iCs/>
                <w:sz w:val="24"/>
                <w:szCs w:val="24"/>
              </w:rPr>
              <w:t>Space</w:t>
            </w:r>
          </w:p>
          <w:p w14:paraId="304E244F" w14:textId="70DE2248" w:rsidR="00CB485D" w:rsidRPr="00CB485D" w:rsidRDefault="00CB485D" w:rsidP="00CB485D">
            <w:pPr>
              <w:jc w:val="center"/>
            </w:pPr>
            <w:r w:rsidRPr="00CB485D">
              <w:t>To develop pupils’ awareness of surrealism, use a range of materials and methods to record ideas</w:t>
            </w:r>
            <w:proofErr w:type="gramStart"/>
            <w:r w:rsidRPr="00CB485D">
              <w:t xml:space="preserve">.  </w:t>
            </w:r>
            <w:proofErr w:type="gramEnd"/>
            <w:r w:rsidRPr="00CB485D">
              <w:t xml:space="preserve">Choose a favoured medium giving reason where possible. Research artist Tang </w:t>
            </w:r>
            <w:proofErr w:type="spellStart"/>
            <w:r w:rsidRPr="00CB485D">
              <w:t>Yau</w:t>
            </w:r>
            <w:proofErr w:type="spellEnd"/>
            <w:r w:rsidRPr="00CB485D">
              <w:t xml:space="preserve"> </w:t>
            </w:r>
            <w:proofErr w:type="spellStart"/>
            <w:r w:rsidRPr="00CB485D">
              <w:t>Hoong</w:t>
            </w:r>
            <w:proofErr w:type="spellEnd"/>
            <w:r w:rsidRPr="00CB485D">
              <w:t xml:space="preserve"> and use their work to influence their own work. Create a final piece of work.</w:t>
            </w:r>
          </w:p>
        </w:tc>
      </w:tr>
      <w:tr w:rsidR="00240E16" w:rsidRPr="00240E16" w14:paraId="5D1BC63E" w14:textId="77777777" w:rsidTr="00F0635D">
        <w:tc>
          <w:tcPr>
            <w:tcW w:w="347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180AC997" w14:textId="7476CF51" w:rsidR="00240E16" w:rsidRPr="00B55F93" w:rsidRDefault="00B04ADC" w:rsidP="00B55F93">
            <w:pPr>
              <w:jc w:val="center"/>
              <w:rPr>
                <w:b/>
                <w:bCs/>
                <w:sz w:val="40"/>
                <w:szCs w:val="40"/>
              </w:rPr>
            </w:pPr>
            <w:r>
              <w:rPr>
                <w:b/>
                <w:bCs/>
                <w:sz w:val="40"/>
                <w:szCs w:val="40"/>
              </w:rPr>
              <w:t>Year 2</w:t>
            </w:r>
          </w:p>
        </w:tc>
        <w:tc>
          <w:tcPr>
            <w:tcW w:w="347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B913F9A" w14:textId="72D9BB9F" w:rsidR="00240E16" w:rsidRPr="00F0635D" w:rsidRDefault="00B425BB" w:rsidP="00F0635D">
            <w:pPr>
              <w:jc w:val="center"/>
              <w:rPr>
                <w:b/>
                <w:bCs/>
                <w:i/>
                <w:iCs/>
                <w:sz w:val="24"/>
                <w:szCs w:val="24"/>
              </w:rPr>
            </w:pPr>
            <w:r w:rsidRPr="00F0635D">
              <w:rPr>
                <w:b/>
                <w:bCs/>
                <w:i/>
                <w:iCs/>
                <w:sz w:val="24"/>
                <w:szCs w:val="24"/>
              </w:rPr>
              <w:t xml:space="preserve">Around </w:t>
            </w:r>
            <w:r w:rsidR="00B55F93" w:rsidRPr="00F0635D">
              <w:rPr>
                <w:b/>
                <w:bCs/>
                <w:i/>
                <w:iCs/>
                <w:sz w:val="24"/>
                <w:szCs w:val="24"/>
              </w:rPr>
              <w:t>t</w:t>
            </w:r>
            <w:r w:rsidRPr="00F0635D">
              <w:rPr>
                <w:b/>
                <w:bCs/>
                <w:i/>
                <w:iCs/>
                <w:sz w:val="24"/>
                <w:szCs w:val="24"/>
              </w:rPr>
              <w:t>he World</w:t>
            </w:r>
          </w:p>
          <w:p w14:paraId="5A0B5EEB" w14:textId="77777777" w:rsidR="00B04ADC" w:rsidRPr="00B04ADC" w:rsidRDefault="00B04ADC" w:rsidP="00B04ADC">
            <w:pPr>
              <w:jc w:val="center"/>
            </w:pPr>
            <w:r w:rsidRPr="00B04ADC">
              <w:t>Exploring and experiencing the use of colour/mark making and tonal work.</w:t>
            </w:r>
          </w:p>
          <w:p w14:paraId="4870C73B" w14:textId="3B7E342D" w:rsidR="00B55F93" w:rsidRPr="00B04ADC" w:rsidRDefault="00B04ADC" w:rsidP="00B04ADC">
            <w:pPr>
              <w:jc w:val="center"/>
            </w:pPr>
            <w:r w:rsidRPr="00B04ADC">
              <w:t>Developing skills in using paint/pencil/pen/charcoal and graphite</w:t>
            </w:r>
          </w:p>
          <w:p w14:paraId="2E6CCC8E" w14:textId="00157FEC" w:rsidR="00B04ADC" w:rsidRPr="00B04ADC" w:rsidRDefault="00B04ADC" w:rsidP="00B04ADC">
            <w:pPr>
              <w:jc w:val="center"/>
            </w:pPr>
            <w:r w:rsidRPr="00B04ADC">
              <w:t>European Art – Mondrian</w:t>
            </w:r>
          </w:p>
          <w:p w14:paraId="70E46C96" w14:textId="1EF0345C" w:rsidR="00F0635D" w:rsidRPr="00F0635D" w:rsidRDefault="00B04ADC" w:rsidP="00B04ADC">
            <w:pPr>
              <w:jc w:val="center"/>
            </w:pPr>
            <w:r w:rsidRPr="00B04ADC">
              <w:t>(Colour, Pattern and Shape)</w:t>
            </w:r>
          </w:p>
        </w:tc>
        <w:tc>
          <w:tcPr>
            <w:tcW w:w="3478"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4EA0AE32" w14:textId="77777777" w:rsidR="00B425BB" w:rsidRDefault="00C93A1E" w:rsidP="00F0635D">
            <w:pPr>
              <w:jc w:val="center"/>
              <w:rPr>
                <w:b/>
                <w:bCs/>
                <w:i/>
                <w:iCs/>
                <w:sz w:val="24"/>
                <w:szCs w:val="24"/>
              </w:rPr>
            </w:pPr>
            <w:r w:rsidRPr="00F0635D">
              <w:rPr>
                <w:b/>
                <w:bCs/>
                <w:i/>
                <w:iCs/>
                <w:sz w:val="24"/>
                <w:szCs w:val="24"/>
              </w:rPr>
              <w:t>Farm to Fork</w:t>
            </w:r>
          </w:p>
          <w:p w14:paraId="4B3A73C9" w14:textId="7097C6AC" w:rsidR="00B04ADC" w:rsidRPr="00B04ADC" w:rsidRDefault="00B04ADC" w:rsidP="00B04ADC">
            <w:pPr>
              <w:jc w:val="center"/>
            </w:pPr>
            <w:r w:rsidRPr="00B04ADC">
              <w:t>3D Sculpture (Clay) and Printing</w:t>
            </w:r>
          </w:p>
          <w:p w14:paraId="1C78CA20" w14:textId="77777777" w:rsidR="00B04ADC" w:rsidRPr="00B04ADC" w:rsidRDefault="00B04ADC" w:rsidP="00B04ADC">
            <w:pPr>
              <w:jc w:val="center"/>
            </w:pPr>
            <w:r w:rsidRPr="00B04ADC">
              <w:t>Still Life – Paul Cezanne</w:t>
            </w:r>
          </w:p>
          <w:p w14:paraId="0626A251" w14:textId="60EEFAE0" w:rsidR="00B04ADC" w:rsidRPr="00F0635D" w:rsidRDefault="00B04ADC" w:rsidP="00B04ADC">
            <w:pPr>
              <w:jc w:val="center"/>
              <w:rPr>
                <w:b/>
                <w:bCs/>
                <w:i/>
                <w:iCs/>
              </w:rPr>
            </w:pPr>
            <w:r w:rsidRPr="00B04ADC">
              <w:t>(Drawing)</w:t>
            </w:r>
          </w:p>
        </w:tc>
        <w:tc>
          <w:tcPr>
            <w:tcW w:w="3479"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684CF1DB" w14:textId="77777777" w:rsidR="00B425BB" w:rsidRDefault="00B425BB" w:rsidP="00F0635D">
            <w:pPr>
              <w:jc w:val="center"/>
              <w:rPr>
                <w:b/>
                <w:bCs/>
                <w:i/>
                <w:iCs/>
                <w:sz w:val="24"/>
                <w:szCs w:val="24"/>
              </w:rPr>
            </w:pPr>
            <w:r w:rsidRPr="00F0635D">
              <w:rPr>
                <w:b/>
                <w:bCs/>
                <w:i/>
                <w:iCs/>
                <w:sz w:val="24"/>
                <w:szCs w:val="24"/>
              </w:rPr>
              <w:t>Lights Camera Action</w:t>
            </w:r>
          </w:p>
          <w:p w14:paraId="1715F01A" w14:textId="77777777" w:rsidR="00B04ADC" w:rsidRPr="00B04ADC" w:rsidRDefault="00B04ADC" w:rsidP="00B04ADC">
            <w:pPr>
              <w:jc w:val="center"/>
            </w:pPr>
            <w:r w:rsidRPr="00B04ADC">
              <w:t>Film Art (stencil)</w:t>
            </w:r>
          </w:p>
          <w:p w14:paraId="132DBF97" w14:textId="72583BF8" w:rsidR="00B04ADC" w:rsidRPr="00F0635D" w:rsidRDefault="00B04ADC" w:rsidP="00B04ADC">
            <w:pPr>
              <w:jc w:val="center"/>
              <w:rPr>
                <w:b/>
                <w:bCs/>
                <w:i/>
                <w:iCs/>
              </w:rPr>
            </w:pPr>
            <w:r w:rsidRPr="00B04ADC">
              <w:t>(</w:t>
            </w:r>
            <w:r w:rsidR="00CB485D" w:rsidRPr="00B04ADC">
              <w:t>Drawing</w:t>
            </w:r>
            <w:r w:rsidRPr="00B04ADC">
              <w:t xml:space="preserve"> and colour skills including digital media)</w:t>
            </w:r>
          </w:p>
        </w:tc>
      </w:tr>
      <w:tr w:rsidR="00240E16" w:rsidRPr="00240E16" w14:paraId="62EB1D3A" w14:textId="77777777" w:rsidTr="00F0635D">
        <w:trPr>
          <w:trHeight w:val="902"/>
        </w:trPr>
        <w:tc>
          <w:tcPr>
            <w:tcW w:w="347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D910FD1" w14:textId="280EF108" w:rsidR="00240E16" w:rsidRPr="00B55F93" w:rsidRDefault="00B04ADC" w:rsidP="00B55F93">
            <w:pPr>
              <w:jc w:val="center"/>
              <w:rPr>
                <w:b/>
                <w:bCs/>
                <w:sz w:val="40"/>
                <w:szCs w:val="40"/>
              </w:rPr>
            </w:pPr>
            <w:r>
              <w:rPr>
                <w:b/>
                <w:bCs/>
                <w:sz w:val="40"/>
                <w:szCs w:val="40"/>
              </w:rPr>
              <w:t>Year 3</w:t>
            </w:r>
          </w:p>
        </w:tc>
        <w:tc>
          <w:tcPr>
            <w:tcW w:w="347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3911925" w14:textId="77777777" w:rsidR="00B55F93" w:rsidRDefault="00C93A1E" w:rsidP="00F0635D">
            <w:pPr>
              <w:jc w:val="center"/>
              <w:rPr>
                <w:b/>
                <w:bCs/>
                <w:i/>
                <w:iCs/>
                <w:sz w:val="24"/>
                <w:szCs w:val="24"/>
              </w:rPr>
            </w:pPr>
            <w:r w:rsidRPr="00F0635D">
              <w:rPr>
                <w:b/>
                <w:bCs/>
                <w:i/>
                <w:iCs/>
                <w:sz w:val="24"/>
                <w:szCs w:val="24"/>
              </w:rPr>
              <w:t>Best of British</w:t>
            </w:r>
          </w:p>
          <w:p w14:paraId="607E788E" w14:textId="77777777" w:rsidR="00B04ADC" w:rsidRPr="00B04ADC" w:rsidRDefault="00B04ADC" w:rsidP="00B04ADC">
            <w:pPr>
              <w:jc w:val="center"/>
            </w:pPr>
            <w:r w:rsidRPr="00B04ADC">
              <w:t>Exploring and experiencing the use of colour/mark making and tonal work.</w:t>
            </w:r>
          </w:p>
          <w:p w14:paraId="548CDA98" w14:textId="03AA68AC" w:rsidR="00B04ADC" w:rsidRDefault="00B04ADC" w:rsidP="00B04ADC">
            <w:pPr>
              <w:jc w:val="center"/>
            </w:pPr>
            <w:r w:rsidRPr="00B04ADC">
              <w:t>Developing skills in using paint/pencil/pen/charcoal and graphite</w:t>
            </w:r>
          </w:p>
          <w:p w14:paraId="280F13E7" w14:textId="77777777" w:rsidR="00B04ADC" w:rsidRDefault="00B04ADC" w:rsidP="00B04ADC">
            <w:pPr>
              <w:jc w:val="center"/>
              <w:rPr>
                <w:sz w:val="24"/>
                <w:szCs w:val="24"/>
              </w:rPr>
            </w:pPr>
            <w:r>
              <w:rPr>
                <w:sz w:val="24"/>
                <w:szCs w:val="24"/>
              </w:rPr>
              <w:t>David Hockney (Painting)</w:t>
            </w:r>
          </w:p>
          <w:p w14:paraId="6CB9C936" w14:textId="77777777" w:rsidR="00B04ADC" w:rsidRDefault="00B04ADC" w:rsidP="00B04ADC">
            <w:pPr>
              <w:jc w:val="center"/>
              <w:rPr>
                <w:sz w:val="24"/>
                <w:szCs w:val="24"/>
              </w:rPr>
            </w:pPr>
            <w:r>
              <w:rPr>
                <w:sz w:val="24"/>
                <w:szCs w:val="24"/>
              </w:rPr>
              <w:t xml:space="preserve">LS Lowry </w:t>
            </w:r>
          </w:p>
          <w:p w14:paraId="11188FDB" w14:textId="2E68FB2E" w:rsidR="00B04ADC" w:rsidRPr="00B04ADC" w:rsidRDefault="00B04ADC" w:rsidP="00B04ADC">
            <w:pPr>
              <w:jc w:val="center"/>
              <w:rPr>
                <w:sz w:val="24"/>
                <w:szCs w:val="24"/>
              </w:rPr>
            </w:pPr>
            <w:r>
              <w:rPr>
                <w:sz w:val="24"/>
                <w:szCs w:val="24"/>
              </w:rPr>
              <w:t>(Drawing and Sketching)</w:t>
            </w:r>
          </w:p>
        </w:tc>
        <w:tc>
          <w:tcPr>
            <w:tcW w:w="3478"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2DCFF585" w14:textId="1AE88689" w:rsidR="00B425BB" w:rsidRPr="00F0635D" w:rsidRDefault="00B425BB" w:rsidP="00F0635D">
            <w:pPr>
              <w:jc w:val="center"/>
              <w:rPr>
                <w:b/>
                <w:bCs/>
                <w:i/>
                <w:iCs/>
                <w:sz w:val="24"/>
                <w:szCs w:val="24"/>
              </w:rPr>
            </w:pPr>
            <w:r w:rsidRPr="00F0635D">
              <w:rPr>
                <w:b/>
                <w:bCs/>
                <w:i/>
                <w:iCs/>
                <w:sz w:val="24"/>
                <w:szCs w:val="24"/>
              </w:rPr>
              <w:t>Looking After Me</w:t>
            </w:r>
          </w:p>
          <w:p w14:paraId="1E02F938" w14:textId="77777777" w:rsidR="00B04ADC" w:rsidRDefault="00B04ADC" w:rsidP="00B04ADC">
            <w:pPr>
              <w:jc w:val="center"/>
              <w:rPr>
                <w:sz w:val="24"/>
                <w:szCs w:val="24"/>
              </w:rPr>
            </w:pPr>
            <w:r>
              <w:rPr>
                <w:sz w:val="24"/>
                <w:szCs w:val="24"/>
              </w:rPr>
              <w:t xml:space="preserve">Picasso and Henri Matisse – self portraiture </w:t>
            </w:r>
          </w:p>
          <w:p w14:paraId="731F8E77" w14:textId="77777777" w:rsidR="00B04ADC" w:rsidRDefault="00B04ADC" w:rsidP="00B04ADC">
            <w:pPr>
              <w:jc w:val="center"/>
              <w:rPr>
                <w:sz w:val="24"/>
                <w:szCs w:val="24"/>
              </w:rPr>
            </w:pPr>
            <w:r>
              <w:rPr>
                <w:sz w:val="24"/>
                <w:szCs w:val="24"/>
              </w:rPr>
              <w:t>(Drawing)</w:t>
            </w:r>
          </w:p>
          <w:p w14:paraId="7653909C" w14:textId="1E0AAE42" w:rsidR="00B55F93" w:rsidRPr="00F0635D" w:rsidRDefault="00B55F93" w:rsidP="00B04ADC">
            <w:pPr>
              <w:rPr>
                <w:b/>
                <w:bCs/>
                <w:i/>
                <w:iCs/>
                <w:sz w:val="24"/>
                <w:szCs w:val="24"/>
              </w:rPr>
            </w:pPr>
          </w:p>
        </w:tc>
        <w:tc>
          <w:tcPr>
            <w:tcW w:w="3479"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2B057D8A" w14:textId="77777777" w:rsidR="00B425BB" w:rsidRDefault="00C93A1E" w:rsidP="00F0635D">
            <w:pPr>
              <w:jc w:val="center"/>
              <w:rPr>
                <w:b/>
                <w:bCs/>
                <w:i/>
                <w:iCs/>
                <w:sz w:val="24"/>
                <w:szCs w:val="24"/>
              </w:rPr>
            </w:pPr>
            <w:r w:rsidRPr="00F0635D">
              <w:rPr>
                <w:b/>
                <w:bCs/>
                <w:i/>
                <w:iCs/>
                <w:sz w:val="24"/>
                <w:szCs w:val="24"/>
              </w:rPr>
              <w:t>Animal Kingdom</w:t>
            </w:r>
          </w:p>
          <w:p w14:paraId="5B143C39" w14:textId="77777777" w:rsidR="00B04ADC" w:rsidRPr="00B04ADC" w:rsidRDefault="00B04ADC" w:rsidP="00B04ADC">
            <w:pPr>
              <w:jc w:val="center"/>
            </w:pPr>
            <w:r w:rsidRPr="00B04ADC">
              <w:t>Steve Brown (Oil Pastels)</w:t>
            </w:r>
          </w:p>
          <w:p w14:paraId="32573BF0" w14:textId="77777777" w:rsidR="00B04ADC" w:rsidRPr="00B04ADC" w:rsidRDefault="00B04ADC" w:rsidP="00B04ADC">
            <w:pPr>
              <w:jc w:val="center"/>
            </w:pPr>
            <w:r w:rsidRPr="00B04ADC">
              <w:t>Alan M Hunt (Pencil and Water Colour</w:t>
            </w:r>
          </w:p>
          <w:p w14:paraId="7EDF9885" w14:textId="2A15102C" w:rsidR="00B04ADC" w:rsidRPr="00F0635D" w:rsidRDefault="00B04ADC" w:rsidP="00B04ADC">
            <w:pPr>
              <w:jc w:val="center"/>
              <w:rPr>
                <w:b/>
                <w:bCs/>
                <w:i/>
                <w:iCs/>
              </w:rPr>
            </w:pPr>
            <w:r w:rsidRPr="00B04ADC">
              <w:t>Animals Masks</w:t>
            </w:r>
            <w:r>
              <w:t xml:space="preserve"> </w:t>
            </w:r>
            <w:r w:rsidRPr="00B04ADC">
              <w:t>(Modelling and Sculpture)</w:t>
            </w:r>
          </w:p>
        </w:tc>
      </w:tr>
    </w:tbl>
    <w:p w14:paraId="6FB842D0" w14:textId="1B95EF59" w:rsidR="00CC6A36" w:rsidRPr="00240E16" w:rsidRDefault="00CC6A36" w:rsidP="00240E16"/>
    <w:sectPr w:rsidR="00CC6A36" w:rsidRPr="00240E16" w:rsidSect="00240E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D4A"/>
    <w:multiLevelType w:val="hybridMultilevel"/>
    <w:tmpl w:val="982E9B2E"/>
    <w:lvl w:ilvl="0" w:tplc="2B4C52FA">
      <w:start w:val="20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F7E84"/>
    <w:multiLevelType w:val="hybridMultilevel"/>
    <w:tmpl w:val="34B20BB4"/>
    <w:lvl w:ilvl="0" w:tplc="76306B50">
      <w:start w:val="3"/>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16"/>
    <w:rsid w:val="00240E16"/>
    <w:rsid w:val="003B4D51"/>
    <w:rsid w:val="009C1D3F"/>
    <w:rsid w:val="00B04ADC"/>
    <w:rsid w:val="00B425BB"/>
    <w:rsid w:val="00B55F93"/>
    <w:rsid w:val="00C93A1E"/>
    <w:rsid w:val="00CB485D"/>
    <w:rsid w:val="00CC6A36"/>
    <w:rsid w:val="00F06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5845"/>
  <w15:chartTrackingRefBased/>
  <w15:docId w15:val="{F0ACDEA4-B652-4C1E-BFDD-92A8C35C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 Admin</dc:creator>
  <cp:keywords/>
  <dc:description/>
  <cp:lastModifiedBy>DM - Admin</cp:lastModifiedBy>
  <cp:revision>2</cp:revision>
  <dcterms:created xsi:type="dcterms:W3CDTF">2021-11-03T14:03:00Z</dcterms:created>
  <dcterms:modified xsi:type="dcterms:W3CDTF">2021-11-03T14:03:00Z</dcterms:modified>
</cp:coreProperties>
</file>