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 filled="f" stroked="f"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A470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642F65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8EA8005" w14:textId="66798D7B" w:rsidR="00642F65" w:rsidRDefault="002C3E1E">
            <w:r>
              <w:t>Attention Autism</w:t>
            </w:r>
          </w:p>
          <w:p w14:paraId="43929404" w14:textId="585DFE1D" w:rsidR="00642F65" w:rsidRDefault="00642F65"/>
        </w:tc>
      </w:tr>
      <w:tr w:rsidR="00642F65" w14:paraId="1705E01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642F65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E1E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E1E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SOCIAL, EMOTIONAL AND MENTAL HEALTH</w:t>
            </w:r>
          </w:p>
        </w:tc>
        <w:tc>
          <w:tcPr>
            <w:tcW w:w="1803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60C8A906" w14:textId="19D71E6D" w:rsidR="002C3E1E" w:rsidRPr="002C3E1E" w:rsidRDefault="002C3E1E" w:rsidP="002C3E1E">
            <w:p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Attention Autism programme is an intervention model devised by Speech and Language Therapist, Gina Davies. </w:t>
            </w:r>
            <w:r w:rsidR="009C1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programme is aimed towards students who respond best to visual stimuli rather than auditory. </w:t>
            </w:r>
          </w:p>
          <w:p w14:paraId="350309CA" w14:textId="5B087ABB" w:rsidR="002C3E1E" w:rsidRPr="002C3E1E" w:rsidRDefault="002C3E1E" w:rsidP="002C3E1E">
            <w:p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intervention aims to:</w:t>
            </w:r>
          </w:p>
          <w:p w14:paraId="509B4FEA" w14:textId="77777777" w:rsidR="002C3E1E" w:rsidRPr="002C3E1E" w:rsidRDefault="002C3E1E" w:rsidP="002C3E1E">
            <w:pPr>
              <w:numPr>
                <w:ilvl w:val="0"/>
                <w:numId w:val="1"/>
              </w:num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Engage attention</w:t>
            </w:r>
          </w:p>
          <w:p w14:paraId="7155B36C" w14:textId="77777777" w:rsidR="002C3E1E" w:rsidRPr="002C3E1E" w:rsidRDefault="002C3E1E" w:rsidP="002C3E1E">
            <w:pPr>
              <w:numPr>
                <w:ilvl w:val="0"/>
                <w:numId w:val="1"/>
              </w:num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Improve joint attention</w:t>
            </w:r>
          </w:p>
          <w:p w14:paraId="7FD13A41" w14:textId="77777777" w:rsidR="002C3E1E" w:rsidRPr="002C3E1E" w:rsidRDefault="002C3E1E" w:rsidP="002C3E1E">
            <w:pPr>
              <w:numPr>
                <w:ilvl w:val="0"/>
                <w:numId w:val="1"/>
              </w:num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Develop shared enjoyment in group activities</w:t>
            </w:r>
          </w:p>
          <w:p w14:paraId="18B4D1EB" w14:textId="77777777" w:rsidR="002C3E1E" w:rsidRPr="002C3E1E" w:rsidRDefault="002C3E1E" w:rsidP="002C3E1E">
            <w:pPr>
              <w:numPr>
                <w:ilvl w:val="0"/>
                <w:numId w:val="1"/>
              </w:num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Increase attention in adult-led activities</w:t>
            </w:r>
          </w:p>
          <w:p w14:paraId="6BE5D30D" w14:textId="77777777" w:rsidR="002C3E1E" w:rsidRPr="002C3E1E" w:rsidRDefault="002C3E1E" w:rsidP="002C3E1E">
            <w:pPr>
              <w:numPr>
                <w:ilvl w:val="0"/>
                <w:numId w:val="1"/>
              </w:num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Encourage spontaneous interaction in a natural group setting</w:t>
            </w:r>
          </w:p>
          <w:p w14:paraId="6ADE79C7" w14:textId="77777777" w:rsidR="002C3E1E" w:rsidRPr="002C3E1E" w:rsidRDefault="002C3E1E" w:rsidP="002C3E1E">
            <w:pPr>
              <w:numPr>
                <w:ilvl w:val="0"/>
                <w:numId w:val="1"/>
              </w:numPr>
              <w:shd w:val="clear" w:color="auto" w:fill="FFFFFF"/>
              <w:rPr>
                <w:rFonts w:ascii="Montserrat" w:eastAsia="Times New Roman" w:hAnsi="Montserrat" w:cs="Times New Roman"/>
                <w:color w:val="363332"/>
                <w:sz w:val="24"/>
                <w:szCs w:val="24"/>
                <w:lang w:eastAsia="en-GB"/>
              </w:rPr>
            </w:pPr>
            <w:r w:rsidRPr="002C3E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Increase verbal and non-verbal communication through commenting</w:t>
            </w:r>
          </w:p>
          <w:p w14:paraId="64910905" w14:textId="769EEB45" w:rsidR="00642F65" w:rsidRDefault="002C3E1E" w:rsidP="0064332F">
            <w:pPr>
              <w:numPr>
                <w:ilvl w:val="0"/>
                <w:numId w:val="1"/>
              </w:numPr>
              <w:shd w:val="clear" w:color="auto" w:fill="FFFFFF"/>
            </w:pPr>
            <w:r w:rsidRPr="006433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Build a wealth and depth of vocabulary  </w:t>
            </w:r>
          </w:p>
        </w:tc>
      </w:tr>
      <w:tr w:rsidR="00642F65" w14:paraId="3876DA57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0064332F">
        <w:trPr>
          <w:trHeight w:val="557"/>
        </w:trPr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2FBFD566" w14:textId="06B8BAD9" w:rsidR="00642F65" w:rsidRDefault="002C3E1E" w:rsidP="002C3E1E">
            <w:pPr>
              <w:pStyle w:val="ListParagraph"/>
              <w:numPr>
                <w:ilvl w:val="0"/>
                <w:numId w:val="2"/>
              </w:numPr>
            </w:pPr>
            <w:r>
              <w:t>Minimum of 2 x weekly session for identified students</w:t>
            </w:r>
          </w:p>
          <w:p w14:paraId="09456AE5" w14:textId="1FA17351" w:rsidR="002C3E1E" w:rsidRPr="002C3E1E" w:rsidRDefault="002C3E1E">
            <w:pPr>
              <w:rPr>
                <w:u w:val="single"/>
              </w:rPr>
            </w:pPr>
            <w:r w:rsidRPr="002C3E1E">
              <w:rPr>
                <w:u w:val="single"/>
              </w:rPr>
              <w:t>Stages of Attention Autism</w:t>
            </w:r>
          </w:p>
          <w:p w14:paraId="1BC48DD5" w14:textId="67845582" w:rsidR="002C3E1E" w:rsidRPr="000278A8" w:rsidRDefault="002C3E1E">
            <w:pPr>
              <w:rPr>
                <w:b/>
                <w:bCs/>
              </w:rPr>
            </w:pPr>
            <w:r w:rsidRPr="000278A8">
              <w:rPr>
                <w:b/>
                <w:bCs/>
              </w:rPr>
              <w:t>Stage 1: The Bucket to focus attention</w:t>
            </w:r>
          </w:p>
          <w:p w14:paraId="5AD15097" w14:textId="0D780CE4" w:rsidR="002C3E1E" w:rsidRDefault="002C3E1E">
            <w:r>
              <w:t xml:space="preserve">An opaque bucket with a lid is filled with visually engaging toys and objects, aiming to gain the shared attention </w:t>
            </w:r>
            <w:r w:rsidR="000278A8">
              <w:t>of the group. The adult leader shows each item to the group and uses simple repetitive vocabulary to comment on the various objects.</w:t>
            </w:r>
          </w:p>
          <w:p w14:paraId="2B34F3FA" w14:textId="3BEB7A0D" w:rsidR="002C3E1E" w:rsidRPr="000278A8" w:rsidRDefault="002C3E1E">
            <w:pPr>
              <w:rPr>
                <w:b/>
                <w:bCs/>
              </w:rPr>
            </w:pPr>
            <w:r w:rsidRPr="000278A8">
              <w:rPr>
                <w:b/>
                <w:bCs/>
              </w:rPr>
              <w:t>Stage 2:</w:t>
            </w:r>
            <w:r w:rsidR="000278A8" w:rsidRPr="000278A8">
              <w:rPr>
                <w:b/>
                <w:bCs/>
              </w:rPr>
              <w:t xml:space="preserve"> The Attention Builder</w:t>
            </w:r>
          </w:p>
          <w:p w14:paraId="53B6198A" w14:textId="1E34DD86" w:rsidR="000278A8" w:rsidRPr="000278A8" w:rsidRDefault="000278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278A8">
              <w:rPr>
                <w:rFonts w:cstheme="minorHAnsi"/>
                <w:color w:val="000000" w:themeColor="text1"/>
                <w:shd w:val="clear" w:color="auto" w:fill="FFFFFF"/>
              </w:rPr>
              <w:t>Visually stimulating activities are shown to the group by the adult leader, aiming to sustain attention for a longer period. The activities are fun, visually engaging and can often involve delightful mess!</w:t>
            </w:r>
          </w:p>
          <w:p w14:paraId="6AC4A9C5" w14:textId="4073B899" w:rsidR="002C3E1E" w:rsidRPr="000278A8" w:rsidRDefault="002C3E1E">
            <w:pPr>
              <w:rPr>
                <w:b/>
                <w:bCs/>
              </w:rPr>
            </w:pPr>
            <w:r w:rsidRPr="000278A8">
              <w:rPr>
                <w:b/>
                <w:bCs/>
              </w:rPr>
              <w:t>Stage 3:</w:t>
            </w:r>
            <w:r w:rsidR="000278A8" w:rsidRPr="000278A8">
              <w:rPr>
                <w:b/>
                <w:bCs/>
              </w:rPr>
              <w:t xml:space="preserve"> Turn-taking and re-engaging attention</w:t>
            </w:r>
          </w:p>
          <w:p w14:paraId="327DA57E" w14:textId="637FDCF8" w:rsidR="000278A8" w:rsidRPr="000278A8" w:rsidRDefault="000278A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278A8">
              <w:rPr>
                <w:rFonts w:cstheme="minorHAnsi"/>
                <w:color w:val="000000" w:themeColor="text1"/>
                <w:shd w:val="clear" w:color="auto" w:fill="FFFFFF"/>
              </w:rPr>
              <w:t>The adult leader demonstrates a simple activity, often modelled with another adult in the group. Some children are then invited to have a turn but only if they are comfortable to do so. Not every child in the group will get a turn, which then teaches important emotional regulation skills, as well as the essential skills of waiting, turn-taking and learning through modelling.</w:t>
            </w:r>
          </w:p>
          <w:p w14:paraId="39253E45" w14:textId="156E53C7" w:rsidR="000278A8" w:rsidRPr="000278A8" w:rsidRDefault="002C3E1E">
            <w:pPr>
              <w:rPr>
                <w:b/>
                <w:bCs/>
              </w:rPr>
            </w:pPr>
            <w:r w:rsidRPr="000278A8">
              <w:rPr>
                <w:b/>
                <w:bCs/>
              </w:rPr>
              <w:t>Stage 4:</w:t>
            </w:r>
            <w:r w:rsidR="000278A8" w:rsidRPr="000278A8">
              <w:rPr>
                <w:b/>
                <w:bCs/>
              </w:rPr>
              <w:t xml:space="preserve"> Shifting and re-engaging attention</w:t>
            </w:r>
          </w:p>
          <w:p w14:paraId="4E5E12B0" w14:textId="0CC45CBD" w:rsidR="00642F65" w:rsidRDefault="000278A8">
            <w:r w:rsidRPr="000278A8">
              <w:rPr>
                <w:rFonts w:cstheme="minorHAnsi"/>
                <w:color w:val="000000" w:themeColor="text1"/>
                <w:shd w:val="clear" w:color="auto" w:fill="FFFFFF"/>
              </w:rPr>
              <w:t>Stage 4 aims to develop the skill of engaging and shifting attention. The adult leader demonstrates a simple creative task, and then gives each child an individual kit to copy the task. The children take their kits to a table, complete the task independently, and then everyone returns to the group to show their completed tasks.</w:t>
            </w:r>
          </w:p>
          <w:p w14:paraId="199967BC" w14:textId="77777777" w:rsidR="0064332F" w:rsidRDefault="00B54B97" w:rsidP="0064332F">
            <w:pPr>
              <w:shd w:val="clear" w:color="auto" w:fill="FFFFFF"/>
              <w:spacing w:after="240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B54B97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More complex skills can be introduced as confidence and social skills develop e.g. sharing materials, working with a partner, problem solving.</w:t>
            </w:r>
          </w:p>
          <w:p w14:paraId="42A31226" w14:textId="32F26F02" w:rsidR="00B54B97" w:rsidRPr="00B54B97" w:rsidRDefault="00B54B97" w:rsidP="0064332F">
            <w:pPr>
              <w:shd w:val="clear" w:color="auto" w:fill="FFFFFF"/>
              <w:spacing w:after="240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B54B97">
              <w:rPr>
                <w:rFonts w:eastAsia="Times New Roman" w:cstheme="minorHAnsi"/>
                <w:color w:val="000000" w:themeColor="text1"/>
                <w:lang w:eastAsia="en-GB"/>
              </w:rPr>
              <w:lastRenderedPageBreak/>
              <w:t>Attention Autism principles can then be generalised to curriculum activities (e.g. literacy and numeracy) to facilitate learning and skill development.</w:t>
            </w:r>
          </w:p>
        </w:tc>
      </w:tr>
      <w:tr w:rsidR="00642F65" w14:paraId="38415E8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lastRenderedPageBreak/>
              <w:t>IMPACT</w:t>
            </w:r>
          </w:p>
        </w:tc>
      </w:tr>
      <w:tr w:rsidR="00642F65" w14:paraId="4A0FB9F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5E6869" w14:textId="22C41EB1" w:rsidR="00B54B97" w:rsidRDefault="00B54B97">
            <w:r>
              <w:t>Attention Autism results in students being able to develop the ability to:</w:t>
            </w:r>
          </w:p>
          <w:p w14:paraId="56CB8D5F" w14:textId="22DC3C9C" w:rsidR="00642F65" w:rsidRPr="00B54B97" w:rsidRDefault="00B54B97" w:rsidP="00B54B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54B97">
              <w:rPr>
                <w:rFonts w:cstheme="minorHAnsi"/>
                <w:color w:val="000000" w:themeColor="text1"/>
                <w:shd w:val="clear" w:color="auto" w:fill="FFFFFF"/>
              </w:rPr>
              <w:t>understand and respond to a structured, adult directed routine</w:t>
            </w:r>
          </w:p>
          <w:p w14:paraId="760DEAEF" w14:textId="19B7C2C1" w:rsidR="00B54B97" w:rsidRPr="009C18C2" w:rsidRDefault="009C18C2" w:rsidP="00B54B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engage in an adult-directed activity</w:t>
            </w:r>
          </w:p>
          <w:p w14:paraId="39B730F8" w14:textId="4C57EA10" w:rsidR="009C18C2" w:rsidRDefault="009C18C2" w:rsidP="00B54B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 and build attention and listening skills at an appropriate developmental level</w:t>
            </w:r>
          </w:p>
          <w:p w14:paraId="63BB4E76" w14:textId="088868A5" w:rsidR="009C18C2" w:rsidRDefault="009C18C2" w:rsidP="00B54B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build social communication skills e.g. turn taking, vocalisations</w:t>
            </w:r>
          </w:p>
          <w:p w14:paraId="74233497" w14:textId="0EC3E1F8" w:rsidR="009C18C2" w:rsidRDefault="009C18C2" w:rsidP="00B54B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remember experiences with an emotional impact (activities aim to be memorable and enjoyable)</w:t>
            </w:r>
          </w:p>
          <w:p w14:paraId="4E7DC587" w14:textId="642A7D8A" w:rsidR="00642F65" w:rsidRDefault="009C18C2" w:rsidP="0064332F">
            <w:pPr>
              <w:pStyle w:val="ListParagraph"/>
              <w:numPr>
                <w:ilvl w:val="0"/>
                <w:numId w:val="2"/>
              </w:numPr>
            </w:pPr>
            <w:r w:rsidRPr="0064332F">
              <w:rPr>
                <w:rFonts w:cstheme="minorHAnsi"/>
              </w:rPr>
              <w:t>follow logic and structure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D91"/>
    <w:multiLevelType w:val="multilevel"/>
    <w:tmpl w:val="11D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26D42"/>
    <w:multiLevelType w:val="hybridMultilevel"/>
    <w:tmpl w:val="8830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278A8"/>
    <w:rsid w:val="002C3E1E"/>
    <w:rsid w:val="00445D30"/>
    <w:rsid w:val="00641B93"/>
    <w:rsid w:val="00642F65"/>
    <w:rsid w:val="0064332F"/>
    <w:rsid w:val="009C18C2"/>
    <w:rsid w:val="00A06216"/>
    <w:rsid w:val="00B54B97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3E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3</cp:revision>
  <dcterms:created xsi:type="dcterms:W3CDTF">2022-03-03T07:20:00Z</dcterms:created>
  <dcterms:modified xsi:type="dcterms:W3CDTF">2022-03-03T12:42:00Z</dcterms:modified>
</cp:coreProperties>
</file>