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4F9F" w14:textId="60AAC3F5" w:rsidR="00642F65" w:rsidRDefault="00642F65">
      <w:r>
        <w:rPr>
          <w:noProof/>
        </w:rPr>
        <w:drawing>
          <wp:anchor distT="0" distB="0" distL="114300" distR="114300" simplePos="0" relativeHeight="251660288" behindDoc="0" locked="0" layoutInCell="1" allowOverlap="1" wp14:anchorId="6B680131" wp14:editId="66B3E094">
            <wp:simplePos x="0" y="0"/>
            <wp:positionH relativeFrom="margin">
              <wp:posOffset>66675</wp:posOffset>
            </wp:positionH>
            <wp:positionV relativeFrom="paragraph">
              <wp:posOffset>-429260</wp:posOffset>
            </wp:positionV>
            <wp:extent cx="1386205" cy="1085850"/>
            <wp:effectExtent l="0" t="0" r="444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6205" cy="10858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05F8B8D" wp14:editId="54A878E3">
                <wp:simplePos x="0" y="0"/>
                <wp:positionH relativeFrom="margin">
                  <wp:align>right</wp:align>
                </wp:positionH>
                <wp:positionV relativeFrom="paragraph">
                  <wp:posOffset>-145415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FEAF7" w14:textId="13A61A9B" w:rsidR="00642F65" w:rsidRPr="00642F65" w:rsidRDefault="00642F65" w:rsidP="00642F65">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F65">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INTERVENTION OVERVIEW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5F8B8D" id="_x0000_t202" coordsize="21600,21600" o:spt="202" path="m,l,21600r21600,l21600,xe">
                <v:stroke joinstyle="miter"/>
                <v:path gradientshapeok="t" o:connecttype="rect"/>
              </v:shapetype>
              <v:shape id="Text Box 3" o:spid="_x0000_s1026" type="#_x0000_t202" style="position:absolute;margin-left:92.8pt;margin-top:-11.45pt;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" filled="f" stroked="f">
                <v:textbox style="mso-fit-shape-to-text:t">
                  <w:txbxContent>
                    <w:p w14:paraId="635FEAF7" w14:textId="13A61A9B" w:rsidR="00642F65" w:rsidRPr="00642F65" w:rsidRDefault="00642F65" w:rsidP="00642F65">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F65">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INTERVENTION OVERVIEW</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0597414" wp14:editId="39B184ED">
                <wp:simplePos x="0" y="0"/>
                <wp:positionH relativeFrom="column">
                  <wp:posOffset>-904875</wp:posOffset>
                </wp:positionH>
                <wp:positionV relativeFrom="paragraph">
                  <wp:posOffset>-191135</wp:posOffset>
                </wp:positionV>
                <wp:extent cx="7524750" cy="561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524750" cy="561975"/>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7A470" id="Rectangle 2" o:spid="_x0000_s1026" style="position:absolute;margin-left:-71.25pt;margin-top:-15.05pt;width:592.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" fillcolor="#5b9bd5 [3208]" strokecolor="#5b9bd5 [3208]" strokeweight="1pt"/>
            </w:pict>
          </mc:Fallback>
        </mc:AlternateContent>
      </w:r>
    </w:p>
    <w:p w14:paraId="3CF0CFDA" w14:textId="029C3C37" w:rsidR="00642F65" w:rsidRDefault="00642F65"/>
    <w:p w14:paraId="4D359A38" w14:textId="31661E05" w:rsidR="00642F65" w:rsidRDefault="00642F65"/>
    <w:tbl>
      <w:tblPr>
        <w:tblStyle w:val="TableGrid"/>
        <w:tblW w:w="0" w:type="auto"/>
        <w:tblLook w:val="04A0" w:firstRow="1" w:lastRow="0" w:firstColumn="1" w:lastColumn="0" w:noHBand="0" w:noVBand="1"/>
      </w:tblPr>
      <w:tblGrid>
        <w:gridCol w:w="1781"/>
        <w:gridCol w:w="1802"/>
        <w:gridCol w:w="1784"/>
        <w:gridCol w:w="1775"/>
        <w:gridCol w:w="1794"/>
      </w:tblGrid>
      <w:tr w:rsidR="00642F65" w14:paraId="167F0841" w14:textId="77777777" w:rsidTr="00642F65">
        <w:tc>
          <w:tcPr>
            <w:tcW w:w="9016" w:type="dxa"/>
            <w:gridSpan w:val="5"/>
            <w:tcBorders>
              <w:top w:val="thickThinSmallGap" w:sz="24" w:space="0" w:color="auto"/>
              <w:left w:val="thickThinSmallGap" w:sz="24" w:space="0" w:color="auto"/>
              <w:right w:val="thinThickSmallGap" w:sz="24" w:space="0" w:color="auto"/>
            </w:tcBorders>
            <w:shd w:val="clear" w:color="auto" w:fill="9CC2E5" w:themeFill="accent5" w:themeFillTint="99"/>
          </w:tcPr>
          <w:p w14:paraId="7EF84BC0" w14:textId="340EA235" w:rsidR="00642F65" w:rsidRPr="00642F65" w:rsidRDefault="00642F65">
            <w:pPr>
              <w:rPr>
                <w:b/>
                <w:bCs/>
              </w:rPr>
            </w:pPr>
            <w:r w:rsidRPr="00642F65">
              <w:rPr>
                <w:b/>
                <w:bCs/>
              </w:rPr>
              <w:t>NAME OF INTERVENTION</w:t>
            </w:r>
          </w:p>
        </w:tc>
      </w:tr>
      <w:tr w:rsidR="00642F65" w14:paraId="6945447A" w14:textId="77777777" w:rsidTr="00642F65">
        <w:tc>
          <w:tcPr>
            <w:tcW w:w="9016" w:type="dxa"/>
            <w:gridSpan w:val="5"/>
            <w:tcBorders>
              <w:left w:val="thickThinSmallGap" w:sz="24" w:space="0" w:color="auto"/>
              <w:right w:val="thinThickSmallGap" w:sz="24" w:space="0" w:color="auto"/>
            </w:tcBorders>
          </w:tcPr>
          <w:p w14:paraId="28EA8005" w14:textId="1700597F" w:rsidR="00642F65" w:rsidRDefault="005E03A6">
            <w:r>
              <w:t>Motor Activity Training Programme</w:t>
            </w:r>
          </w:p>
          <w:p w14:paraId="43929404" w14:textId="585DFE1D" w:rsidR="00642F65" w:rsidRDefault="00642F65"/>
        </w:tc>
      </w:tr>
      <w:tr w:rsidR="00642F65" w14:paraId="1705E016" w14:textId="77777777" w:rsidTr="00642F65">
        <w:tc>
          <w:tcPr>
            <w:tcW w:w="9016" w:type="dxa"/>
            <w:gridSpan w:val="5"/>
            <w:tcBorders>
              <w:left w:val="thickThinSmallGap" w:sz="24" w:space="0" w:color="auto"/>
              <w:right w:val="thinThickSmallGap" w:sz="24" w:space="0" w:color="auto"/>
            </w:tcBorders>
            <w:shd w:val="clear" w:color="auto" w:fill="9CC2E5" w:themeFill="accent5" w:themeFillTint="99"/>
          </w:tcPr>
          <w:p w14:paraId="58E9A904" w14:textId="050D4460" w:rsidR="00642F65" w:rsidRPr="00642F65" w:rsidRDefault="00642F65">
            <w:pPr>
              <w:rPr>
                <w:b/>
                <w:bCs/>
              </w:rPr>
            </w:pPr>
            <w:r w:rsidRPr="00642F65">
              <w:rPr>
                <w:b/>
                <w:bCs/>
              </w:rPr>
              <w:t>AREA OF FOCUS (PLEASE HIGHLIGHT)</w:t>
            </w:r>
          </w:p>
        </w:tc>
      </w:tr>
      <w:tr w:rsidR="00642F65" w14:paraId="4BC677E4" w14:textId="77777777" w:rsidTr="00642F65">
        <w:trPr>
          <w:trHeight w:val="54"/>
        </w:trPr>
        <w:tc>
          <w:tcPr>
            <w:tcW w:w="1803" w:type="dxa"/>
            <w:tcBorders>
              <w:left w:val="thickThinSmallGap" w:sz="24" w:space="0" w:color="auto"/>
            </w:tcBorders>
          </w:tcPr>
          <w:p w14:paraId="3936B1A7" w14:textId="51D9CE00" w:rsidR="00642F65" w:rsidRPr="00A06216" w:rsidRDefault="00642F65">
            <w:pPr>
              <w:rPr>
                <w:b/>
                <w:bCs/>
                <w:i/>
                <w:iCs/>
                <w:sz w:val="20"/>
                <w:szCs w:val="20"/>
              </w:rPr>
            </w:pPr>
            <w:r w:rsidRPr="00A06216">
              <w:rPr>
                <w:b/>
                <w:bCs/>
                <w:i/>
                <w:iCs/>
                <w:sz w:val="20"/>
                <w:szCs w:val="20"/>
              </w:rPr>
              <w:t>COGNITION AND LEARNING</w:t>
            </w:r>
          </w:p>
        </w:tc>
        <w:tc>
          <w:tcPr>
            <w:tcW w:w="1803" w:type="dxa"/>
          </w:tcPr>
          <w:p w14:paraId="024A23C5" w14:textId="1AB712B3" w:rsidR="00642F65" w:rsidRPr="00A06216" w:rsidRDefault="00642F65">
            <w:pPr>
              <w:rPr>
                <w:b/>
                <w:bCs/>
                <w:i/>
                <w:iCs/>
                <w:sz w:val="20"/>
                <w:szCs w:val="20"/>
              </w:rPr>
            </w:pPr>
            <w:r w:rsidRPr="00A06216">
              <w:rPr>
                <w:b/>
                <w:bCs/>
                <w:i/>
                <w:iCs/>
                <w:sz w:val="20"/>
                <w:szCs w:val="20"/>
              </w:rPr>
              <w:t>COMMUNICATION AND INTERACTION</w:t>
            </w:r>
          </w:p>
        </w:tc>
        <w:tc>
          <w:tcPr>
            <w:tcW w:w="1803" w:type="dxa"/>
          </w:tcPr>
          <w:p w14:paraId="714AF6B5" w14:textId="36ABC3F5" w:rsidR="00642F65" w:rsidRPr="00A06216" w:rsidRDefault="00642F65">
            <w:pPr>
              <w:rPr>
                <w:b/>
                <w:bCs/>
                <w:i/>
                <w:iCs/>
                <w:sz w:val="20"/>
                <w:szCs w:val="20"/>
              </w:rPr>
            </w:pPr>
            <w:r w:rsidRPr="00A06216">
              <w:rPr>
                <w:b/>
                <w:bCs/>
                <w:i/>
                <w:iCs/>
                <w:sz w:val="20"/>
                <w:szCs w:val="20"/>
              </w:rPr>
              <w:t>SOCIAL, EMOTIONAL AND MENTAL HEALTH</w:t>
            </w:r>
          </w:p>
        </w:tc>
        <w:tc>
          <w:tcPr>
            <w:tcW w:w="1803" w:type="dxa"/>
          </w:tcPr>
          <w:p w14:paraId="63E77C29" w14:textId="77C7FE49" w:rsidR="00642F65" w:rsidRPr="00A06216" w:rsidRDefault="00642F65">
            <w:pPr>
              <w:rPr>
                <w:b/>
                <w:bCs/>
                <w:i/>
                <w:iCs/>
                <w:sz w:val="20"/>
                <w:szCs w:val="20"/>
              </w:rPr>
            </w:pPr>
            <w:r w:rsidRPr="005E03A6">
              <w:rPr>
                <w:b/>
                <w:bCs/>
                <w:i/>
                <w:iCs/>
                <w:sz w:val="20"/>
                <w:szCs w:val="20"/>
                <w:highlight w:val="yellow"/>
              </w:rPr>
              <w:t>PHYSICAL AND SENSORY</w:t>
            </w:r>
          </w:p>
        </w:tc>
        <w:tc>
          <w:tcPr>
            <w:tcW w:w="1804" w:type="dxa"/>
            <w:tcBorders>
              <w:right w:val="thinThickSmallGap" w:sz="24" w:space="0" w:color="auto"/>
            </w:tcBorders>
          </w:tcPr>
          <w:p w14:paraId="4748B7F8" w14:textId="3E8480B7" w:rsidR="00642F65" w:rsidRPr="00A06216" w:rsidRDefault="00642F65">
            <w:pPr>
              <w:rPr>
                <w:b/>
                <w:bCs/>
                <w:i/>
                <w:iCs/>
                <w:sz w:val="20"/>
                <w:szCs w:val="20"/>
              </w:rPr>
            </w:pPr>
            <w:r w:rsidRPr="00A06216">
              <w:rPr>
                <w:b/>
                <w:bCs/>
                <w:i/>
                <w:iCs/>
                <w:sz w:val="20"/>
                <w:szCs w:val="20"/>
              </w:rPr>
              <w:t>SELF-HELP AND INDEPENDENCE</w:t>
            </w:r>
          </w:p>
        </w:tc>
      </w:tr>
      <w:tr w:rsidR="00642F65" w14:paraId="3060A783" w14:textId="77777777" w:rsidTr="00642F65">
        <w:tc>
          <w:tcPr>
            <w:tcW w:w="9016" w:type="dxa"/>
            <w:gridSpan w:val="5"/>
            <w:tcBorders>
              <w:left w:val="thickThinSmallGap" w:sz="24" w:space="0" w:color="auto"/>
              <w:right w:val="thinThickSmallGap" w:sz="24" w:space="0" w:color="auto"/>
            </w:tcBorders>
            <w:shd w:val="clear" w:color="auto" w:fill="9CC2E5" w:themeFill="accent5" w:themeFillTint="99"/>
          </w:tcPr>
          <w:p w14:paraId="226C50B3" w14:textId="4CBB2FCA" w:rsidR="00642F65" w:rsidRPr="00642F65" w:rsidRDefault="00642F65">
            <w:pPr>
              <w:rPr>
                <w:b/>
                <w:bCs/>
              </w:rPr>
            </w:pPr>
            <w:r w:rsidRPr="00642F65">
              <w:rPr>
                <w:b/>
                <w:bCs/>
              </w:rPr>
              <w:t>INTENT</w:t>
            </w:r>
          </w:p>
        </w:tc>
      </w:tr>
      <w:tr w:rsidR="00642F65" w14:paraId="2B13F5CF" w14:textId="77777777" w:rsidTr="00642F65">
        <w:tc>
          <w:tcPr>
            <w:tcW w:w="9016" w:type="dxa"/>
            <w:gridSpan w:val="5"/>
            <w:tcBorders>
              <w:left w:val="thickThinSmallGap" w:sz="24" w:space="0" w:color="auto"/>
              <w:right w:val="thinThickSmallGap" w:sz="24" w:space="0" w:color="auto"/>
            </w:tcBorders>
          </w:tcPr>
          <w:p w14:paraId="307A2119" w14:textId="713007D6" w:rsidR="00642F65" w:rsidRDefault="005E03A6">
            <w:pPr>
              <w:rPr>
                <w:rFonts w:ascii="Calibri" w:hAnsi="Calibri" w:cs="Calibri"/>
                <w:color w:val="000000"/>
                <w:shd w:val="clear" w:color="auto" w:fill="FFFFFF"/>
              </w:rPr>
            </w:pPr>
            <w:r>
              <w:rPr>
                <w:rFonts w:ascii="Calibri" w:hAnsi="Calibri" w:cs="Calibri"/>
                <w:color w:val="000000"/>
                <w:shd w:val="clear" w:color="auto" w:fill="FFFFFF"/>
              </w:rPr>
              <w:t>The Motor Activity Training Programme is part of the Special Olympics and is designed for students who are unable to participate in official sports competitions due to their functional abilities. It is designed to prepare out students, including those with severe or profound disabilities and significant physical disabilities, for sport-specific activities appropriate for their ability and need. </w:t>
            </w:r>
          </w:p>
          <w:p w14:paraId="7541E5F9" w14:textId="06E93547" w:rsidR="005E03A6" w:rsidRPr="005E03A6" w:rsidRDefault="005E03A6" w:rsidP="005E03A6">
            <w:pPr>
              <w:shd w:val="clear" w:color="auto" w:fill="FFFFFF"/>
              <w:rPr>
                <w:rFonts w:ascii="Montserrat" w:eastAsia="Times New Roman" w:hAnsi="Montserrat" w:cs="Times New Roman"/>
                <w:color w:val="363332"/>
                <w:sz w:val="24"/>
                <w:szCs w:val="24"/>
                <w:lang w:eastAsia="en-GB"/>
              </w:rPr>
            </w:pPr>
            <w:r w:rsidRPr="005E03A6">
              <w:rPr>
                <w:rFonts w:ascii="Calibri" w:eastAsia="Times New Roman" w:hAnsi="Calibri" w:cs="Calibri"/>
                <w:color w:val="000000"/>
                <w:sz w:val="24"/>
                <w:szCs w:val="24"/>
                <w:lang w:eastAsia="en-GB"/>
              </w:rPr>
              <w:t xml:space="preserve">Key skills </w:t>
            </w:r>
            <w:r>
              <w:rPr>
                <w:rFonts w:ascii="Calibri" w:eastAsia="Times New Roman" w:hAnsi="Calibri" w:cs="Calibri"/>
                <w:color w:val="000000"/>
                <w:sz w:val="24"/>
                <w:szCs w:val="24"/>
                <w:lang w:eastAsia="en-GB"/>
              </w:rPr>
              <w:t>students will develop</w:t>
            </w:r>
            <w:r w:rsidRPr="005E03A6">
              <w:rPr>
                <w:rFonts w:ascii="Calibri" w:eastAsia="Times New Roman" w:hAnsi="Calibri" w:cs="Calibri"/>
                <w:color w:val="000000"/>
                <w:sz w:val="24"/>
                <w:szCs w:val="24"/>
                <w:lang w:eastAsia="en-GB"/>
              </w:rPr>
              <w:t xml:space="preserve"> are:</w:t>
            </w:r>
          </w:p>
          <w:p w14:paraId="7C2083E7" w14:textId="77777777" w:rsidR="005E03A6" w:rsidRPr="005E03A6" w:rsidRDefault="005E03A6" w:rsidP="005E03A6">
            <w:pPr>
              <w:numPr>
                <w:ilvl w:val="0"/>
                <w:numId w:val="1"/>
              </w:numPr>
              <w:shd w:val="clear" w:color="auto" w:fill="FFFFFF"/>
              <w:rPr>
                <w:rFonts w:ascii="Montserrat" w:eastAsia="Times New Roman" w:hAnsi="Montserrat" w:cs="Times New Roman"/>
                <w:color w:val="363332"/>
                <w:sz w:val="24"/>
                <w:szCs w:val="24"/>
                <w:lang w:eastAsia="en-GB"/>
              </w:rPr>
            </w:pPr>
            <w:r w:rsidRPr="005E03A6">
              <w:rPr>
                <w:rFonts w:ascii="Calibri" w:eastAsia="Times New Roman" w:hAnsi="Calibri" w:cs="Calibri"/>
                <w:color w:val="000000"/>
                <w:sz w:val="24"/>
                <w:szCs w:val="24"/>
                <w:lang w:eastAsia="en-GB"/>
              </w:rPr>
              <w:t>Gross motor skills</w:t>
            </w:r>
          </w:p>
          <w:p w14:paraId="06713E44" w14:textId="77777777" w:rsidR="005E03A6" w:rsidRPr="005E03A6" w:rsidRDefault="005E03A6" w:rsidP="005E03A6">
            <w:pPr>
              <w:numPr>
                <w:ilvl w:val="0"/>
                <w:numId w:val="1"/>
              </w:numPr>
              <w:shd w:val="clear" w:color="auto" w:fill="FFFFFF"/>
              <w:rPr>
                <w:rFonts w:ascii="Montserrat" w:eastAsia="Times New Roman" w:hAnsi="Montserrat" w:cs="Times New Roman"/>
                <w:color w:val="363332"/>
                <w:sz w:val="24"/>
                <w:szCs w:val="24"/>
                <w:lang w:eastAsia="en-GB"/>
              </w:rPr>
            </w:pPr>
            <w:r w:rsidRPr="005E03A6">
              <w:rPr>
                <w:rFonts w:ascii="Calibri" w:eastAsia="Times New Roman" w:hAnsi="Calibri" w:cs="Calibri"/>
                <w:color w:val="000000"/>
                <w:sz w:val="24"/>
                <w:szCs w:val="24"/>
                <w:lang w:eastAsia="en-GB"/>
              </w:rPr>
              <w:t>Fine motor skills</w:t>
            </w:r>
          </w:p>
          <w:p w14:paraId="416E683B" w14:textId="77777777" w:rsidR="005E03A6" w:rsidRPr="005E03A6" w:rsidRDefault="005E03A6" w:rsidP="005E03A6">
            <w:pPr>
              <w:numPr>
                <w:ilvl w:val="0"/>
                <w:numId w:val="1"/>
              </w:numPr>
              <w:shd w:val="clear" w:color="auto" w:fill="FFFFFF"/>
              <w:rPr>
                <w:rFonts w:ascii="Montserrat" w:eastAsia="Times New Roman" w:hAnsi="Montserrat" w:cs="Times New Roman"/>
                <w:color w:val="363332"/>
                <w:sz w:val="24"/>
                <w:szCs w:val="24"/>
                <w:lang w:eastAsia="en-GB"/>
              </w:rPr>
            </w:pPr>
            <w:r w:rsidRPr="005E03A6">
              <w:rPr>
                <w:rFonts w:ascii="Calibri" w:eastAsia="Times New Roman" w:hAnsi="Calibri" w:cs="Calibri"/>
                <w:color w:val="000000"/>
                <w:sz w:val="24"/>
                <w:szCs w:val="24"/>
                <w:lang w:eastAsia="en-GB"/>
              </w:rPr>
              <w:t>Kicking skills</w:t>
            </w:r>
          </w:p>
          <w:p w14:paraId="64910905" w14:textId="1E666A1A" w:rsidR="00642F65" w:rsidRDefault="005E03A6" w:rsidP="00440712">
            <w:pPr>
              <w:numPr>
                <w:ilvl w:val="0"/>
                <w:numId w:val="1"/>
              </w:numPr>
              <w:shd w:val="clear" w:color="auto" w:fill="FFFFFF"/>
            </w:pPr>
            <w:r w:rsidRPr="005E03A6">
              <w:rPr>
                <w:rFonts w:ascii="Calibri" w:eastAsia="Times New Roman" w:hAnsi="Calibri" w:cs="Calibri"/>
                <w:color w:val="000000"/>
                <w:sz w:val="24"/>
                <w:szCs w:val="24"/>
                <w:lang w:eastAsia="en-GB"/>
              </w:rPr>
              <w:t>Throwing skills</w:t>
            </w:r>
          </w:p>
        </w:tc>
      </w:tr>
      <w:tr w:rsidR="00642F65" w14:paraId="3876DA57" w14:textId="77777777" w:rsidTr="00642F65">
        <w:tc>
          <w:tcPr>
            <w:tcW w:w="9016" w:type="dxa"/>
            <w:gridSpan w:val="5"/>
            <w:tcBorders>
              <w:left w:val="thickThinSmallGap" w:sz="24" w:space="0" w:color="auto"/>
              <w:right w:val="thinThickSmallGap" w:sz="24" w:space="0" w:color="auto"/>
            </w:tcBorders>
            <w:shd w:val="clear" w:color="auto" w:fill="9CC2E5" w:themeFill="accent5" w:themeFillTint="99"/>
          </w:tcPr>
          <w:p w14:paraId="0707272F" w14:textId="0AE73C3F" w:rsidR="00642F65" w:rsidRPr="00642F65" w:rsidRDefault="00642F65">
            <w:pPr>
              <w:rPr>
                <w:b/>
                <w:bCs/>
              </w:rPr>
            </w:pPr>
            <w:r w:rsidRPr="00642F65">
              <w:rPr>
                <w:b/>
                <w:bCs/>
              </w:rPr>
              <w:t>IMPLEMENTATION</w:t>
            </w:r>
          </w:p>
        </w:tc>
      </w:tr>
      <w:tr w:rsidR="00642F65" w14:paraId="04FC0DC8" w14:textId="77777777" w:rsidTr="00642F65">
        <w:tc>
          <w:tcPr>
            <w:tcW w:w="9016" w:type="dxa"/>
            <w:gridSpan w:val="5"/>
            <w:tcBorders>
              <w:left w:val="thickThinSmallGap" w:sz="24" w:space="0" w:color="auto"/>
              <w:right w:val="thinThickSmallGap" w:sz="24" w:space="0" w:color="auto"/>
            </w:tcBorders>
          </w:tcPr>
          <w:p w14:paraId="2756CCA4" w14:textId="535B6471" w:rsidR="00642F65" w:rsidRDefault="005E03A6">
            <w:r>
              <w:rPr>
                <w:rFonts w:ascii="Calibri" w:hAnsi="Calibri" w:cs="Calibri"/>
                <w:color w:val="000000"/>
                <w:shd w:val="clear" w:color="auto" w:fill="FFFFFF"/>
              </w:rPr>
              <w:t>The Programme is usually done over 6-10 weeks, ending in a Challenge Event where staff, parents, governors, and students come together to celebrate everyone's achievements throughout recent participation in the programme.</w:t>
            </w:r>
          </w:p>
          <w:p w14:paraId="3C23B9B6" w14:textId="21D171A0" w:rsidR="00AF29EE" w:rsidRDefault="00AF29EE">
            <w:r>
              <w:t>Programme Structure:</w:t>
            </w:r>
          </w:p>
          <w:p w14:paraId="70A57CB0" w14:textId="77777777" w:rsidR="00AF29EE" w:rsidRDefault="00AF29EE" w:rsidP="00AF29EE">
            <w:pPr>
              <w:pStyle w:val="ListParagraph"/>
              <w:numPr>
                <w:ilvl w:val="0"/>
                <w:numId w:val="2"/>
              </w:numPr>
            </w:pPr>
            <w:r>
              <w:t xml:space="preserve">Warm-Up Activities – General awareness activities, relaxation activities and stretching </w:t>
            </w:r>
          </w:p>
          <w:p w14:paraId="75C9CA80" w14:textId="77777777" w:rsidR="00AF29EE" w:rsidRDefault="00AF29EE" w:rsidP="00AF29EE">
            <w:pPr>
              <w:pStyle w:val="ListParagraph"/>
              <w:numPr>
                <w:ilvl w:val="0"/>
                <w:numId w:val="2"/>
              </w:numPr>
            </w:pPr>
            <w:r>
              <w:t xml:space="preserve">Skill Stations – Activities that develop basic motor skills of Mobility, Dexterity, Striking, and Kicking </w:t>
            </w:r>
          </w:p>
          <w:p w14:paraId="2D75B872" w14:textId="77777777" w:rsidR="00AF29EE" w:rsidRDefault="00AF29EE" w:rsidP="00AF29EE">
            <w:pPr>
              <w:pStyle w:val="ListParagraph"/>
              <w:numPr>
                <w:ilvl w:val="0"/>
                <w:numId w:val="2"/>
              </w:numPr>
            </w:pPr>
            <w:r>
              <w:t>Group Game – A fun way for participants to apply the skills practiced at the skill stations. Also provides opportunity for participants to learn rules of a certain game and interact with peers and volunteers</w:t>
            </w:r>
          </w:p>
          <w:p w14:paraId="42A31226" w14:textId="7F3BA8CD" w:rsidR="00642F65" w:rsidRDefault="00AF29EE" w:rsidP="00440712">
            <w:pPr>
              <w:pStyle w:val="ListParagraph"/>
              <w:numPr>
                <w:ilvl w:val="0"/>
                <w:numId w:val="2"/>
              </w:numPr>
            </w:pPr>
            <w:r>
              <w:t>Conclusion – Conduct range of motion/stretching and relaxation activities to cool down</w:t>
            </w:r>
          </w:p>
        </w:tc>
      </w:tr>
      <w:tr w:rsidR="00642F65" w14:paraId="38415E88" w14:textId="77777777" w:rsidTr="00642F65">
        <w:tc>
          <w:tcPr>
            <w:tcW w:w="9016" w:type="dxa"/>
            <w:gridSpan w:val="5"/>
            <w:tcBorders>
              <w:left w:val="thickThinSmallGap" w:sz="24" w:space="0" w:color="auto"/>
              <w:right w:val="thinThickSmallGap" w:sz="24" w:space="0" w:color="auto"/>
            </w:tcBorders>
            <w:shd w:val="clear" w:color="auto" w:fill="9CC2E5" w:themeFill="accent5" w:themeFillTint="99"/>
          </w:tcPr>
          <w:p w14:paraId="49AACB2D" w14:textId="4779EEDA" w:rsidR="00642F65" w:rsidRPr="00642F65" w:rsidRDefault="00642F65">
            <w:pPr>
              <w:rPr>
                <w:b/>
                <w:bCs/>
              </w:rPr>
            </w:pPr>
            <w:r w:rsidRPr="00642F65">
              <w:rPr>
                <w:b/>
                <w:bCs/>
              </w:rPr>
              <w:t>IMPACT</w:t>
            </w:r>
          </w:p>
        </w:tc>
      </w:tr>
      <w:tr w:rsidR="00642F65" w14:paraId="4A0FB9F6" w14:textId="77777777" w:rsidTr="00642F65">
        <w:tc>
          <w:tcPr>
            <w:tcW w:w="9016" w:type="dxa"/>
            <w:gridSpan w:val="5"/>
            <w:tcBorders>
              <w:left w:val="thickThinSmallGap" w:sz="24" w:space="0" w:color="auto"/>
              <w:bottom w:val="thinThickSmallGap" w:sz="24" w:space="0" w:color="auto"/>
              <w:right w:val="thinThickSmallGap" w:sz="24" w:space="0" w:color="auto"/>
            </w:tcBorders>
          </w:tcPr>
          <w:p w14:paraId="1E0FB500" w14:textId="733B23AB" w:rsidR="00642F65" w:rsidRDefault="00AF29EE">
            <w:r>
              <w:t>Students who access the Motor Activity Training Programme develop:</w:t>
            </w:r>
          </w:p>
          <w:p w14:paraId="2C978653" w14:textId="71ADC788" w:rsidR="00AF29EE" w:rsidRDefault="00AF29EE" w:rsidP="00AF29EE">
            <w:pPr>
              <w:pStyle w:val="ListParagraph"/>
              <w:numPr>
                <w:ilvl w:val="0"/>
                <w:numId w:val="3"/>
              </w:numPr>
            </w:pPr>
            <w:r>
              <w:t>Confidence and self-esteem in sport</w:t>
            </w:r>
          </w:p>
          <w:p w14:paraId="32CCA09F" w14:textId="0F2C92A8" w:rsidR="00AF29EE" w:rsidRDefault="00AF29EE" w:rsidP="00AF29EE">
            <w:pPr>
              <w:pStyle w:val="ListParagraph"/>
              <w:numPr>
                <w:ilvl w:val="0"/>
                <w:numId w:val="3"/>
              </w:numPr>
            </w:pPr>
            <w:r>
              <w:t>Progress with gross and fine motor skills</w:t>
            </w:r>
          </w:p>
          <w:p w14:paraId="5D3EC13B" w14:textId="6FE6C875" w:rsidR="00AF29EE" w:rsidRDefault="00AF29EE" w:rsidP="00AF29EE">
            <w:pPr>
              <w:pStyle w:val="ListParagraph"/>
              <w:numPr>
                <w:ilvl w:val="0"/>
                <w:numId w:val="3"/>
              </w:numPr>
            </w:pPr>
            <w:r>
              <w:t>Progress with kicking and throwing skills</w:t>
            </w:r>
          </w:p>
          <w:p w14:paraId="4E7DC587" w14:textId="53E60679" w:rsidR="00642F65" w:rsidRDefault="00AF29EE" w:rsidP="00440712">
            <w:pPr>
              <w:pStyle w:val="ListParagraph"/>
              <w:numPr>
                <w:ilvl w:val="0"/>
                <w:numId w:val="3"/>
              </w:numPr>
            </w:pPr>
            <w:r>
              <w:t>Ability to participate in sport in an accessible way</w:t>
            </w:r>
          </w:p>
        </w:tc>
      </w:tr>
    </w:tbl>
    <w:p w14:paraId="5D49AAD0" w14:textId="5709FEAF" w:rsidR="00F07E96" w:rsidRDefault="00F07E96"/>
    <w:sectPr w:rsidR="00F07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274CF"/>
    <w:multiLevelType w:val="hybridMultilevel"/>
    <w:tmpl w:val="DDA8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7974C6"/>
    <w:multiLevelType w:val="multilevel"/>
    <w:tmpl w:val="2352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5443F"/>
    <w:multiLevelType w:val="hybridMultilevel"/>
    <w:tmpl w:val="CB9E0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93"/>
    <w:rsid w:val="00440712"/>
    <w:rsid w:val="005E03A6"/>
    <w:rsid w:val="00641B93"/>
    <w:rsid w:val="00642F65"/>
    <w:rsid w:val="00A06216"/>
    <w:rsid w:val="00A61429"/>
    <w:rsid w:val="00AF29EE"/>
    <w:rsid w:val="00F07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968C"/>
  <w15:chartTrackingRefBased/>
  <w15:docId w15:val="{454DEA9A-20AA-4E79-AB07-27ABFB7D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03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2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8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 - Admin</dc:creator>
  <cp:keywords/>
  <dc:description/>
  <cp:lastModifiedBy>DM - Admin</cp:lastModifiedBy>
  <cp:revision>3</cp:revision>
  <dcterms:created xsi:type="dcterms:W3CDTF">2022-03-03T07:21:00Z</dcterms:created>
  <dcterms:modified xsi:type="dcterms:W3CDTF">2022-03-03T13:23:00Z</dcterms:modified>
</cp:coreProperties>
</file>