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A470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8A5266">
        <w:tc>
          <w:tcPr>
            <w:tcW w:w="893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7E3ACE8D" w:rsidR="00642F65" w:rsidRDefault="00790B28" w:rsidP="009C2ABC">
            <w:r>
              <w:t xml:space="preserve">KS5 </w:t>
            </w:r>
            <w:r w:rsidR="00641F24">
              <w:t>Reading</w:t>
            </w:r>
            <w:r>
              <w:t xml:space="preserve"> – Turning Pages</w:t>
            </w:r>
          </w:p>
        </w:tc>
      </w:tr>
      <w:tr w:rsidR="00642F65" w14:paraId="1705E016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8A5266">
        <w:trPr>
          <w:trHeight w:val="54"/>
        </w:trPr>
        <w:tc>
          <w:tcPr>
            <w:tcW w:w="1781" w:type="dxa"/>
            <w:tcBorders>
              <w:left w:val="thickThinSmallGap" w:sz="24" w:space="0" w:color="auto"/>
            </w:tcBorders>
          </w:tcPr>
          <w:p w14:paraId="3936B1A7" w14:textId="51D9CE00" w:rsidR="00642F65" w:rsidRPr="00641F24" w:rsidRDefault="00642F6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41F24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COGNITION AND LEARNING</w:t>
            </w:r>
          </w:p>
        </w:tc>
        <w:tc>
          <w:tcPr>
            <w:tcW w:w="1802" w:type="dxa"/>
          </w:tcPr>
          <w:p w14:paraId="024A23C5" w14:textId="1AB712B3" w:rsidR="00642F65" w:rsidRPr="00641F24" w:rsidRDefault="00642F6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41F24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COMMUNICATION AND INTERACTION</w:t>
            </w:r>
          </w:p>
        </w:tc>
        <w:tc>
          <w:tcPr>
            <w:tcW w:w="1784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SOCIAL, EMOTIONAL AND MENTAL HEALTH</w:t>
            </w:r>
          </w:p>
        </w:tc>
        <w:tc>
          <w:tcPr>
            <w:tcW w:w="1775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79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8A5266" w14:paraId="2B13F5CF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91D5F6D" w14:textId="6B20F455" w:rsidR="008A5266" w:rsidRDefault="008A5266" w:rsidP="008A5266">
            <w:r>
              <w:t>Students who are identified as having development of reading as an area of need or target in their EHCP or those identified as reading being a barrier to accreditatio</w:t>
            </w:r>
            <w:r w:rsidR="00B81CDC">
              <w:t>n access this intervention</w:t>
            </w:r>
            <w:r>
              <w:t>.</w:t>
            </w:r>
          </w:p>
          <w:p w14:paraId="6A4A50E5" w14:textId="400E504F" w:rsidR="00B81CDC" w:rsidRDefault="00B81CDC" w:rsidP="008A5266"/>
          <w:p w14:paraId="002BCEDB" w14:textId="43027FC7" w:rsidR="00B81CDC" w:rsidRDefault="00B81CDC" w:rsidP="008A5266">
            <w:r>
              <w:t>The aims of the intervention are:</w:t>
            </w:r>
          </w:p>
          <w:p w14:paraId="51ECC4B7" w14:textId="44A134C4" w:rsidR="00B81CDC" w:rsidRDefault="00B81CDC" w:rsidP="00B81CDC">
            <w:pPr>
              <w:pStyle w:val="ListParagraph"/>
              <w:numPr>
                <w:ilvl w:val="0"/>
                <w:numId w:val="2"/>
              </w:numPr>
            </w:pPr>
            <w:r>
              <w:t>Students develop phonic knowledge to support reading and spelling</w:t>
            </w:r>
          </w:p>
          <w:p w14:paraId="77720CA2" w14:textId="55B4B451" w:rsidR="00C502C1" w:rsidRDefault="00C502C1" w:rsidP="00B81CDC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</w:t>
            </w:r>
            <w:r w:rsidR="00E14A90">
              <w:t>develop functional reading skills</w:t>
            </w:r>
          </w:p>
          <w:p w14:paraId="72752E4F" w14:textId="5EAF4D81" w:rsidR="00B81CDC" w:rsidRDefault="00B81CDC" w:rsidP="00B81CDC">
            <w:pPr>
              <w:pStyle w:val="ListParagraph"/>
              <w:numPr>
                <w:ilvl w:val="0"/>
                <w:numId w:val="2"/>
              </w:numPr>
            </w:pPr>
            <w:r>
              <w:t>Students become confident readers</w:t>
            </w:r>
          </w:p>
          <w:p w14:paraId="063D32DF" w14:textId="7694DBD9" w:rsidR="00576E71" w:rsidRDefault="00576E71" w:rsidP="00B81CDC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as a barrier to </w:t>
            </w:r>
            <w:r w:rsidR="00947C2A">
              <w:t xml:space="preserve">the wider curriculum and </w:t>
            </w:r>
            <w:r>
              <w:t>accreditation is reduced</w:t>
            </w:r>
            <w:r w:rsidR="00947C2A">
              <w:t>, enabling</w:t>
            </w:r>
            <w:r>
              <w:t xml:space="preserve"> students achieve to the best of their ability</w:t>
            </w:r>
          </w:p>
          <w:p w14:paraId="36E2A1CE" w14:textId="2F01448B" w:rsidR="008A5266" w:rsidRDefault="00B81CDC" w:rsidP="008A5266">
            <w:pPr>
              <w:pStyle w:val="ListParagraph"/>
              <w:numPr>
                <w:ilvl w:val="0"/>
                <w:numId w:val="2"/>
              </w:numPr>
            </w:pPr>
            <w:r>
              <w:t xml:space="preserve">Development of reading supports students in </w:t>
            </w:r>
            <w:r w:rsidR="00576E71">
              <w:t xml:space="preserve">carrying out tasks in </w:t>
            </w:r>
            <w:r>
              <w:t xml:space="preserve">their daily adult life, </w:t>
            </w:r>
            <w:r w:rsidR="00576E71">
              <w:t xml:space="preserve">enables </w:t>
            </w:r>
            <w:r>
              <w:t xml:space="preserve">access to </w:t>
            </w:r>
            <w:r w:rsidR="00576E71">
              <w:t>further education or employment and promotes independence.</w:t>
            </w:r>
          </w:p>
          <w:p w14:paraId="64910905" w14:textId="35324854" w:rsidR="008A5266" w:rsidRDefault="008A5266" w:rsidP="008A5266"/>
        </w:tc>
      </w:tr>
      <w:tr w:rsidR="008A5266" w14:paraId="3876DA57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8A5266" w:rsidRPr="00642F65" w:rsidRDefault="008A5266" w:rsidP="008A5266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8A5266" w14:paraId="04FC0DC8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5309282" w14:textId="77777777" w:rsidR="00E14A90" w:rsidRDefault="00E14A90" w:rsidP="00E14A90">
            <w:pPr>
              <w:pStyle w:val="ListParagraph"/>
              <w:numPr>
                <w:ilvl w:val="0"/>
                <w:numId w:val="3"/>
              </w:numPr>
            </w:pPr>
            <w:r>
              <w:t>The intervention is delivered as weekly</w:t>
            </w:r>
            <w:r w:rsidR="008A5266">
              <w:t xml:space="preserve"> 20 minute 1:1 </w:t>
            </w:r>
            <w:proofErr w:type="gramStart"/>
            <w:r w:rsidR="008A5266">
              <w:t>session</w:t>
            </w:r>
            <w:r>
              <w:t>s</w:t>
            </w:r>
            <w:proofErr w:type="gramEnd"/>
            <w:r w:rsidR="008A5266">
              <w:t xml:space="preserve">. </w:t>
            </w:r>
          </w:p>
          <w:p w14:paraId="39EC7F50" w14:textId="77777777" w:rsidR="00E14A90" w:rsidRDefault="008A5266" w:rsidP="00E14A90">
            <w:pPr>
              <w:pStyle w:val="ListParagraph"/>
              <w:numPr>
                <w:ilvl w:val="0"/>
                <w:numId w:val="3"/>
              </w:numPr>
            </w:pPr>
            <w:r>
              <w:t>Students are baselined using the RWI phonic assessment and the word lists for the accreditation if relevant</w:t>
            </w:r>
            <w:r w:rsidR="001807C4">
              <w:t xml:space="preserve"> so that any gaps in phonic knowledge can be addressed</w:t>
            </w:r>
            <w:r w:rsidR="006011A5">
              <w:t xml:space="preserve"> and ensuring a personalised approach</w:t>
            </w:r>
            <w:r>
              <w:t xml:space="preserve">. </w:t>
            </w:r>
          </w:p>
          <w:p w14:paraId="77B10CFE" w14:textId="77777777" w:rsidR="00E14A90" w:rsidRDefault="008A5266" w:rsidP="00E14A90">
            <w:pPr>
              <w:pStyle w:val="ListParagraph"/>
              <w:numPr>
                <w:ilvl w:val="0"/>
                <w:numId w:val="3"/>
              </w:numPr>
            </w:pPr>
            <w:r>
              <w:t xml:space="preserve">During the sessions, students take part in reading/spelling activities tailored to their individual </w:t>
            </w:r>
            <w:r w:rsidR="002B51B9">
              <w:t xml:space="preserve">needs. </w:t>
            </w:r>
          </w:p>
          <w:p w14:paraId="34BF37EF" w14:textId="77777777" w:rsidR="00E14A90" w:rsidRDefault="002B51B9" w:rsidP="00E14A90">
            <w:pPr>
              <w:pStyle w:val="ListParagraph"/>
              <w:numPr>
                <w:ilvl w:val="0"/>
                <w:numId w:val="3"/>
              </w:numPr>
            </w:pPr>
            <w:r>
              <w:t xml:space="preserve">The Shannon Trust Turning Pages is used as a reading scheme. </w:t>
            </w:r>
            <w:r w:rsidRPr="002B51B9">
              <w:t>Turning Pages is a set of 5 structured manuals which use a synthetic phonics approach.</w:t>
            </w:r>
            <w:r>
              <w:t xml:space="preserve"> </w:t>
            </w:r>
            <w:r w:rsidR="001807C4">
              <w:t>Students</w:t>
            </w:r>
            <w:r w:rsidRPr="002B51B9">
              <w:t xml:space="preserve"> build and practice their skills working through a range of different activities. </w:t>
            </w:r>
          </w:p>
          <w:p w14:paraId="42A31226" w14:textId="5E4C6B5A" w:rsidR="008A5266" w:rsidRDefault="002B51B9" w:rsidP="00E14A90">
            <w:pPr>
              <w:pStyle w:val="ListParagraph"/>
              <w:numPr>
                <w:ilvl w:val="0"/>
                <w:numId w:val="3"/>
              </w:numPr>
            </w:pPr>
            <w:r w:rsidRPr="002B51B9">
              <w:t xml:space="preserve">There are 3 progress checks built into each manual, </w:t>
            </w:r>
            <w:r>
              <w:t>to ensure</w:t>
            </w:r>
            <w:r w:rsidRPr="002B51B9">
              <w:t xml:space="preserve"> new skills have been embedded. As these progress checks are completed, Turning Pages reading books become available</w:t>
            </w:r>
            <w:r w:rsidR="001807C4">
              <w:t xml:space="preserve"> for students</w:t>
            </w:r>
            <w:r w:rsidRPr="002B51B9">
              <w:t>. These have been written to match the reading skills learners have covered</w:t>
            </w:r>
            <w:r w:rsidR="001807C4">
              <w:t xml:space="preserve"> in the manuals</w:t>
            </w:r>
            <w:r w:rsidRPr="002B51B9">
              <w:t xml:space="preserve">, </w:t>
            </w:r>
            <w:r w:rsidR="001807C4">
              <w:t>providing the opportunity to</w:t>
            </w:r>
            <w:r w:rsidRPr="002B51B9">
              <w:t xml:space="preserve"> put their new skills into action </w:t>
            </w:r>
            <w:r w:rsidR="001807C4">
              <w:t>so that</w:t>
            </w:r>
            <w:r w:rsidRPr="002B51B9">
              <w:t xml:space="preserve"> they can experience the joy of reading for pleasure from early on.</w:t>
            </w:r>
          </w:p>
        </w:tc>
      </w:tr>
      <w:tr w:rsidR="008A5266" w14:paraId="38415E88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8A5266" w:rsidRPr="00642F65" w:rsidRDefault="008A5266" w:rsidP="008A5266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8A5266" w14:paraId="4A0FB9F6" w14:textId="77777777" w:rsidTr="008A5266">
        <w:tc>
          <w:tcPr>
            <w:tcW w:w="893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B063CC" w14:textId="753B8AEF" w:rsidR="006011A5" w:rsidRDefault="006011A5" w:rsidP="004C4E1C">
            <w:pPr>
              <w:pStyle w:val="ListParagraph"/>
              <w:numPr>
                <w:ilvl w:val="0"/>
                <w:numId w:val="1"/>
              </w:numPr>
            </w:pPr>
            <w:r>
              <w:t>Initial baseline assessments.</w:t>
            </w:r>
          </w:p>
          <w:p w14:paraId="084DE911" w14:textId="3182A376" w:rsidR="006011A5" w:rsidRDefault="006011A5" w:rsidP="004C4E1C">
            <w:pPr>
              <w:pStyle w:val="ListParagraph"/>
              <w:numPr>
                <w:ilvl w:val="0"/>
                <w:numId w:val="1"/>
              </w:numPr>
            </w:pPr>
            <w:r>
              <w:t>Tracking of IEP/EHCP targets.</w:t>
            </w:r>
          </w:p>
          <w:p w14:paraId="7BC5A4A7" w14:textId="24D5563E" w:rsidR="006011A5" w:rsidRDefault="004C4E1C" w:rsidP="004C4E1C">
            <w:pPr>
              <w:pStyle w:val="ListParagraph"/>
              <w:numPr>
                <w:ilvl w:val="0"/>
                <w:numId w:val="1"/>
              </w:numPr>
            </w:pPr>
            <w:r>
              <w:t>Turning Pages progress checks.</w:t>
            </w:r>
          </w:p>
          <w:p w14:paraId="275A47FD" w14:textId="1A170810" w:rsidR="004C4E1C" w:rsidRDefault="004C4E1C" w:rsidP="004C4E1C">
            <w:pPr>
              <w:pStyle w:val="ListParagraph"/>
              <w:numPr>
                <w:ilvl w:val="0"/>
                <w:numId w:val="1"/>
              </w:numPr>
            </w:pPr>
            <w:r>
              <w:t>Accreditation assessments including practice English papers.</w:t>
            </w:r>
          </w:p>
          <w:p w14:paraId="3D0B53DC" w14:textId="443D5289" w:rsidR="004C4E1C" w:rsidRDefault="004C4E1C" w:rsidP="004C4E1C">
            <w:pPr>
              <w:pStyle w:val="ListParagraph"/>
              <w:numPr>
                <w:ilvl w:val="0"/>
                <w:numId w:val="1"/>
              </w:numPr>
            </w:pPr>
            <w:r>
              <w:t>Teachers and TA's will feedback on skills observed in wider curriculum.</w:t>
            </w:r>
          </w:p>
          <w:p w14:paraId="4E7DC587" w14:textId="3112FD6C" w:rsidR="008A5266" w:rsidRDefault="004C4E1C" w:rsidP="009C2ABC">
            <w:pPr>
              <w:pStyle w:val="ListParagraph"/>
              <w:numPr>
                <w:ilvl w:val="0"/>
                <w:numId w:val="1"/>
              </w:numPr>
            </w:pPr>
            <w:r>
              <w:t>Feedback through end of year reports.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D1"/>
    <w:multiLevelType w:val="hybridMultilevel"/>
    <w:tmpl w:val="F06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A60"/>
    <w:multiLevelType w:val="hybridMultilevel"/>
    <w:tmpl w:val="D90C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3705F"/>
    <w:multiLevelType w:val="hybridMultilevel"/>
    <w:tmpl w:val="54AE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1807C4"/>
    <w:rsid w:val="002B51B9"/>
    <w:rsid w:val="004C4E1C"/>
    <w:rsid w:val="00576E71"/>
    <w:rsid w:val="006011A5"/>
    <w:rsid w:val="00641B93"/>
    <w:rsid w:val="00641F24"/>
    <w:rsid w:val="00642F65"/>
    <w:rsid w:val="00790B28"/>
    <w:rsid w:val="008A5266"/>
    <w:rsid w:val="00947C2A"/>
    <w:rsid w:val="009C2ABC"/>
    <w:rsid w:val="00A06216"/>
    <w:rsid w:val="00B81CDC"/>
    <w:rsid w:val="00C502C1"/>
    <w:rsid w:val="00E14A90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2</cp:revision>
  <dcterms:created xsi:type="dcterms:W3CDTF">2022-03-07T08:06:00Z</dcterms:created>
  <dcterms:modified xsi:type="dcterms:W3CDTF">2022-03-07T08:06:00Z</dcterms:modified>
</cp:coreProperties>
</file>