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6404" w14:textId="689B8E1A" w:rsidR="008A7F56" w:rsidRPr="008A7F56" w:rsidRDefault="008A7F56" w:rsidP="008A7F56">
      <w:pPr>
        <w:rPr>
          <w:lang w:val="en-GB"/>
        </w:rPr>
      </w:pPr>
      <w:r w:rsidRPr="008A7F56">
        <w:rPr>
          <w:noProof/>
          <w:lang w:val="en-GB"/>
        </w:rPr>
        <w:drawing>
          <wp:inline distT="0" distB="0" distL="0" distR="0" wp14:anchorId="6EAB6D40" wp14:editId="2CE3B56A">
            <wp:extent cx="1676400" cy="838200"/>
            <wp:effectExtent l="0" t="0" r="0" b="0"/>
            <wp:docPr id="473840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r w:rsidRPr="008A7F56">
        <w:rPr>
          <w:lang w:val="en-GB"/>
        </w:rPr>
        <w:t> </w:t>
      </w:r>
    </w:p>
    <w:p w14:paraId="1AF4E6C4" w14:textId="7208F8A7" w:rsidR="008A7F56" w:rsidRPr="008A7F56" w:rsidRDefault="008A7F56" w:rsidP="008A7F56">
      <w:pPr>
        <w:rPr>
          <w:lang w:val="en-GB"/>
        </w:rPr>
      </w:pPr>
      <w:r w:rsidRPr="008A7F56">
        <w:rPr>
          <w:noProof/>
          <w:lang w:val="en-GB"/>
        </w:rPr>
        <w:drawing>
          <wp:inline distT="0" distB="0" distL="0" distR="0" wp14:anchorId="418B20F1" wp14:editId="11793593">
            <wp:extent cx="5052060" cy="1219200"/>
            <wp:effectExtent l="0" t="0" r="0" b="0"/>
            <wp:docPr id="998659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2060" cy="1219200"/>
                    </a:xfrm>
                    <a:prstGeom prst="rect">
                      <a:avLst/>
                    </a:prstGeom>
                    <a:noFill/>
                    <a:ln>
                      <a:noFill/>
                    </a:ln>
                  </pic:spPr>
                </pic:pic>
              </a:graphicData>
            </a:graphic>
          </wp:inline>
        </w:drawing>
      </w:r>
      <w:r w:rsidRPr="008A7F56">
        <w:rPr>
          <w:lang w:val="en-GB"/>
        </w:rPr>
        <w:t> </w:t>
      </w:r>
    </w:p>
    <w:p w14:paraId="4045A3AD" w14:textId="381E71EB" w:rsidR="008A7F56" w:rsidRPr="008A7F56" w:rsidRDefault="008A7F56" w:rsidP="008A7F56">
      <w:pPr>
        <w:jc w:val="center"/>
        <w:rPr>
          <w:b/>
          <w:bCs/>
          <w:sz w:val="80"/>
          <w:szCs w:val="80"/>
          <w:lang w:val="en-GB"/>
        </w:rPr>
      </w:pPr>
    </w:p>
    <w:p w14:paraId="2A07CB31" w14:textId="416D92F4" w:rsidR="008A7F56" w:rsidRPr="008A7F56" w:rsidRDefault="008A7F56" w:rsidP="008A7F56">
      <w:pPr>
        <w:jc w:val="center"/>
        <w:rPr>
          <w:lang w:val="en-GB"/>
        </w:rPr>
      </w:pPr>
      <w:r w:rsidRPr="008A7F56">
        <w:rPr>
          <w:b/>
          <w:bCs/>
          <w:sz w:val="80"/>
          <w:szCs w:val="80"/>
          <w:lang w:val="en-GB"/>
        </w:rPr>
        <w:t>Anti-Bullying Policy</w:t>
      </w:r>
      <w:r w:rsidRPr="008A7F56">
        <w:rPr>
          <w:lang w:val="en-GB"/>
        </w:rPr>
        <w:t> </w:t>
      </w:r>
    </w:p>
    <w:p w14:paraId="080AE15C" w14:textId="77777777" w:rsidR="008A7F56" w:rsidRPr="008A7F56" w:rsidRDefault="008A7F56" w:rsidP="008A7F56">
      <w:pPr>
        <w:rPr>
          <w:lang w:val="en-GB"/>
        </w:rPr>
      </w:pPr>
      <w:r w:rsidRPr="008A7F56">
        <w:rPr>
          <w:lang w:val="en-GB"/>
        </w:rPr>
        <w:t> </w:t>
      </w:r>
    </w:p>
    <w:p w14:paraId="24742FA2" w14:textId="77777777" w:rsidR="008A7F56" w:rsidRPr="008A7F56" w:rsidRDefault="008A7F56" w:rsidP="008A7F56">
      <w:pPr>
        <w:rPr>
          <w:lang w:val="en-GB"/>
        </w:rPr>
      </w:pPr>
      <w:r w:rsidRPr="008A7F56">
        <w:rPr>
          <w:lang w:val="en-GB"/>
        </w:rPr>
        <w:t> </w:t>
      </w:r>
    </w:p>
    <w:p w14:paraId="18542FF2" w14:textId="77777777" w:rsidR="008A7F56" w:rsidRPr="008A7F56" w:rsidRDefault="008A7F56" w:rsidP="008A7F56">
      <w:pPr>
        <w:rPr>
          <w:lang w:val="en-GB"/>
        </w:rPr>
      </w:pPr>
      <w:r w:rsidRPr="008A7F56">
        <w:rPr>
          <w:lang w:val="en-GB"/>
        </w:rPr>
        <w:t> </w:t>
      </w:r>
    </w:p>
    <w:p w14:paraId="70C02570" w14:textId="77777777" w:rsidR="008A7F56" w:rsidRPr="008A7F56" w:rsidRDefault="008A7F56" w:rsidP="008A7F56">
      <w:pPr>
        <w:rPr>
          <w:lang w:val="en-GB"/>
        </w:rPr>
      </w:pPr>
      <w:r w:rsidRPr="008A7F56">
        <w:rPr>
          <w:lang w:val="en-GB"/>
        </w:rPr>
        <w:t> </w:t>
      </w:r>
    </w:p>
    <w:p w14:paraId="16692151" w14:textId="77777777" w:rsidR="008A7F56" w:rsidRPr="008A7F56" w:rsidRDefault="008A7F56" w:rsidP="008A7F56">
      <w:pPr>
        <w:rPr>
          <w:lang w:val="en-GB"/>
        </w:rPr>
      </w:pPr>
      <w:r w:rsidRPr="008A7F56">
        <w:rPr>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3"/>
        <w:gridCol w:w="6621"/>
      </w:tblGrid>
      <w:tr w:rsidR="008A7F56" w:rsidRPr="008A7F56" w14:paraId="16E12470" w14:textId="77777777">
        <w:trPr>
          <w:trHeight w:val="555"/>
        </w:trPr>
        <w:tc>
          <w:tcPr>
            <w:tcW w:w="2790" w:type="dxa"/>
            <w:tcBorders>
              <w:top w:val="single" w:sz="6" w:space="0" w:color="auto"/>
              <w:left w:val="single" w:sz="6" w:space="0" w:color="auto"/>
              <w:bottom w:val="single" w:sz="6" w:space="0" w:color="auto"/>
              <w:right w:val="single" w:sz="6" w:space="0" w:color="auto"/>
            </w:tcBorders>
            <w:hideMark/>
          </w:tcPr>
          <w:p w14:paraId="5A2FDBFE" w14:textId="77777777" w:rsidR="008A7F56" w:rsidRPr="008A7F56" w:rsidRDefault="008A7F56" w:rsidP="008A7F56">
            <w:pPr>
              <w:rPr>
                <w:lang w:val="en-GB"/>
              </w:rPr>
            </w:pPr>
            <w:r w:rsidRPr="008A7F56">
              <w:rPr>
                <w:b/>
                <w:bCs/>
                <w:lang w:val="en-GB"/>
              </w:rPr>
              <w:t>Policy Originator:</w:t>
            </w:r>
            <w:r w:rsidRPr="008A7F56">
              <w:rPr>
                <w:lang w:val="en-GB"/>
              </w:rPr>
              <w:tab/>
            </w:r>
            <w:r w:rsidRPr="008A7F56">
              <w:rPr>
                <w:lang w:val="en-GB"/>
              </w:rPr>
              <w:tab/>
              <w:t> </w:t>
            </w:r>
          </w:p>
        </w:tc>
        <w:tc>
          <w:tcPr>
            <w:tcW w:w="7035" w:type="dxa"/>
            <w:tcBorders>
              <w:top w:val="single" w:sz="6" w:space="0" w:color="auto"/>
              <w:left w:val="single" w:sz="6" w:space="0" w:color="auto"/>
              <w:bottom w:val="single" w:sz="6" w:space="0" w:color="auto"/>
              <w:right w:val="single" w:sz="6" w:space="0" w:color="auto"/>
            </w:tcBorders>
            <w:hideMark/>
          </w:tcPr>
          <w:p w14:paraId="7917889F" w14:textId="7B2D4184" w:rsidR="008A7F56" w:rsidRPr="008A7F56" w:rsidRDefault="008A7F56" w:rsidP="008A7F56">
            <w:pPr>
              <w:rPr>
                <w:b/>
                <w:bCs/>
                <w:lang w:val="en-GB"/>
              </w:rPr>
            </w:pPr>
            <w:r w:rsidRPr="008A7F56">
              <w:rPr>
                <w:b/>
                <w:bCs/>
                <w:lang w:val="en-GB"/>
              </w:rPr>
              <w:t>C Gee </w:t>
            </w:r>
          </w:p>
        </w:tc>
      </w:tr>
      <w:tr w:rsidR="008A7F56" w:rsidRPr="008A7F56" w14:paraId="22AD69A6" w14:textId="77777777">
        <w:trPr>
          <w:trHeight w:val="555"/>
        </w:trPr>
        <w:tc>
          <w:tcPr>
            <w:tcW w:w="2790" w:type="dxa"/>
            <w:tcBorders>
              <w:top w:val="single" w:sz="6" w:space="0" w:color="auto"/>
              <w:left w:val="single" w:sz="6" w:space="0" w:color="auto"/>
              <w:bottom w:val="single" w:sz="6" w:space="0" w:color="auto"/>
              <w:right w:val="single" w:sz="6" w:space="0" w:color="auto"/>
            </w:tcBorders>
            <w:hideMark/>
          </w:tcPr>
          <w:p w14:paraId="563FAD16" w14:textId="77777777" w:rsidR="008A7F56" w:rsidRPr="008A7F56" w:rsidRDefault="008A7F56" w:rsidP="008A7F56">
            <w:pPr>
              <w:rPr>
                <w:lang w:val="en-GB"/>
              </w:rPr>
            </w:pPr>
            <w:r w:rsidRPr="008A7F56">
              <w:rPr>
                <w:b/>
                <w:bCs/>
                <w:lang w:val="en-GB"/>
              </w:rPr>
              <w:t>Approved by:</w:t>
            </w:r>
            <w:r w:rsidRPr="008A7F56">
              <w:rPr>
                <w:lang w:val="en-GB"/>
              </w:rPr>
              <w:tab/>
            </w:r>
            <w:r w:rsidRPr="008A7F56">
              <w:rPr>
                <w:lang w:val="en-GB"/>
              </w:rPr>
              <w:tab/>
              <w:t> </w:t>
            </w:r>
          </w:p>
        </w:tc>
        <w:tc>
          <w:tcPr>
            <w:tcW w:w="7035" w:type="dxa"/>
            <w:tcBorders>
              <w:top w:val="single" w:sz="6" w:space="0" w:color="auto"/>
              <w:left w:val="single" w:sz="6" w:space="0" w:color="auto"/>
              <w:bottom w:val="single" w:sz="6" w:space="0" w:color="auto"/>
              <w:right w:val="single" w:sz="6" w:space="0" w:color="auto"/>
            </w:tcBorders>
            <w:hideMark/>
          </w:tcPr>
          <w:p w14:paraId="63DFFB02" w14:textId="77777777" w:rsidR="008A7F56" w:rsidRPr="008A7F56" w:rsidRDefault="008A7F56" w:rsidP="008A7F56">
            <w:pPr>
              <w:rPr>
                <w:b/>
                <w:bCs/>
                <w:lang w:val="en-GB"/>
              </w:rPr>
            </w:pPr>
            <w:r w:rsidRPr="008A7F56">
              <w:rPr>
                <w:b/>
                <w:bCs/>
                <w:lang w:val="en-GB"/>
              </w:rPr>
              <w:t>Academy Council  </w:t>
            </w:r>
          </w:p>
        </w:tc>
      </w:tr>
      <w:tr w:rsidR="008A7F56" w:rsidRPr="008A7F56" w14:paraId="34D025D9" w14:textId="77777777">
        <w:trPr>
          <w:trHeight w:val="555"/>
        </w:trPr>
        <w:tc>
          <w:tcPr>
            <w:tcW w:w="2790" w:type="dxa"/>
            <w:tcBorders>
              <w:top w:val="single" w:sz="6" w:space="0" w:color="auto"/>
              <w:left w:val="single" w:sz="6" w:space="0" w:color="auto"/>
              <w:bottom w:val="single" w:sz="6" w:space="0" w:color="auto"/>
              <w:right w:val="single" w:sz="6" w:space="0" w:color="auto"/>
            </w:tcBorders>
            <w:hideMark/>
          </w:tcPr>
          <w:p w14:paraId="71BACAB0" w14:textId="77777777" w:rsidR="008A7F56" w:rsidRPr="008A7F56" w:rsidRDefault="008A7F56" w:rsidP="008A7F56">
            <w:pPr>
              <w:rPr>
                <w:lang w:val="en-GB"/>
              </w:rPr>
            </w:pPr>
            <w:r w:rsidRPr="008A7F56">
              <w:rPr>
                <w:b/>
                <w:bCs/>
                <w:lang w:val="en-GB"/>
              </w:rPr>
              <w:t>Last review Date:</w:t>
            </w:r>
            <w:r w:rsidRPr="008A7F56">
              <w:rPr>
                <w:lang w:val="en-GB"/>
              </w:rPr>
              <w:tab/>
            </w:r>
            <w:r w:rsidRPr="008A7F56">
              <w:rPr>
                <w:lang w:val="en-GB"/>
              </w:rPr>
              <w:tab/>
              <w:t> </w:t>
            </w:r>
          </w:p>
        </w:tc>
        <w:tc>
          <w:tcPr>
            <w:tcW w:w="7035" w:type="dxa"/>
            <w:tcBorders>
              <w:top w:val="single" w:sz="6" w:space="0" w:color="auto"/>
              <w:left w:val="single" w:sz="6" w:space="0" w:color="auto"/>
              <w:bottom w:val="single" w:sz="6" w:space="0" w:color="auto"/>
              <w:right w:val="single" w:sz="6" w:space="0" w:color="auto"/>
            </w:tcBorders>
            <w:hideMark/>
          </w:tcPr>
          <w:p w14:paraId="25FEA36C" w14:textId="2734FADF" w:rsidR="008A7F56" w:rsidRPr="008A7F56" w:rsidRDefault="00E6046A" w:rsidP="008A7F56">
            <w:pPr>
              <w:rPr>
                <w:b/>
                <w:bCs/>
                <w:lang w:val="en-GB"/>
              </w:rPr>
            </w:pPr>
            <w:r>
              <w:rPr>
                <w:b/>
                <w:bCs/>
                <w:lang w:val="en-GB"/>
              </w:rPr>
              <w:t>Jan 2026</w:t>
            </w:r>
          </w:p>
        </w:tc>
      </w:tr>
      <w:tr w:rsidR="008A7F56" w:rsidRPr="008A7F56" w14:paraId="41A0AD01" w14:textId="77777777">
        <w:trPr>
          <w:trHeight w:val="555"/>
        </w:trPr>
        <w:tc>
          <w:tcPr>
            <w:tcW w:w="2790" w:type="dxa"/>
            <w:tcBorders>
              <w:top w:val="single" w:sz="6" w:space="0" w:color="auto"/>
              <w:left w:val="single" w:sz="6" w:space="0" w:color="auto"/>
              <w:bottom w:val="single" w:sz="6" w:space="0" w:color="auto"/>
              <w:right w:val="single" w:sz="6" w:space="0" w:color="auto"/>
            </w:tcBorders>
            <w:hideMark/>
          </w:tcPr>
          <w:p w14:paraId="3048D7D7" w14:textId="77777777" w:rsidR="008A7F56" w:rsidRPr="008A7F56" w:rsidRDefault="008A7F56" w:rsidP="008A7F56">
            <w:pPr>
              <w:rPr>
                <w:lang w:val="en-GB"/>
              </w:rPr>
            </w:pPr>
            <w:r w:rsidRPr="008A7F56">
              <w:rPr>
                <w:b/>
                <w:bCs/>
                <w:lang w:val="en-GB"/>
              </w:rPr>
              <w:t>Next review date:</w:t>
            </w:r>
            <w:r w:rsidRPr="008A7F56">
              <w:rPr>
                <w:lang w:val="en-GB"/>
              </w:rPr>
              <w:tab/>
            </w:r>
            <w:r w:rsidRPr="008A7F56">
              <w:rPr>
                <w:lang w:val="en-GB"/>
              </w:rPr>
              <w:tab/>
              <w:t> </w:t>
            </w:r>
          </w:p>
        </w:tc>
        <w:tc>
          <w:tcPr>
            <w:tcW w:w="7035" w:type="dxa"/>
            <w:tcBorders>
              <w:top w:val="single" w:sz="6" w:space="0" w:color="auto"/>
              <w:left w:val="single" w:sz="6" w:space="0" w:color="auto"/>
              <w:bottom w:val="single" w:sz="6" w:space="0" w:color="auto"/>
              <w:right w:val="single" w:sz="6" w:space="0" w:color="auto"/>
            </w:tcBorders>
            <w:hideMark/>
          </w:tcPr>
          <w:p w14:paraId="758D1D0F" w14:textId="24AF70EF" w:rsidR="008A7F56" w:rsidRPr="008A7F56" w:rsidRDefault="00E6046A" w:rsidP="008A7F56">
            <w:pPr>
              <w:rPr>
                <w:b/>
                <w:bCs/>
                <w:lang w:val="en-GB"/>
              </w:rPr>
            </w:pPr>
            <w:r>
              <w:rPr>
                <w:b/>
                <w:bCs/>
                <w:lang w:val="en-GB"/>
              </w:rPr>
              <w:t>August 2026</w:t>
            </w:r>
          </w:p>
        </w:tc>
      </w:tr>
      <w:tr w:rsidR="008A7F56" w:rsidRPr="008A7F56" w14:paraId="0C45D7D3" w14:textId="77777777">
        <w:trPr>
          <w:trHeight w:val="555"/>
        </w:trPr>
        <w:tc>
          <w:tcPr>
            <w:tcW w:w="2790" w:type="dxa"/>
            <w:tcBorders>
              <w:top w:val="single" w:sz="6" w:space="0" w:color="auto"/>
              <w:left w:val="single" w:sz="6" w:space="0" w:color="auto"/>
              <w:bottom w:val="single" w:sz="6" w:space="0" w:color="auto"/>
              <w:right w:val="single" w:sz="6" w:space="0" w:color="auto"/>
            </w:tcBorders>
            <w:hideMark/>
          </w:tcPr>
          <w:p w14:paraId="4C19D036" w14:textId="77777777" w:rsidR="008A7F56" w:rsidRPr="008A7F56" w:rsidRDefault="008A7F56" w:rsidP="008A7F56">
            <w:pPr>
              <w:rPr>
                <w:lang w:val="en-GB"/>
              </w:rPr>
            </w:pPr>
            <w:r w:rsidRPr="008A7F56">
              <w:rPr>
                <w:b/>
                <w:bCs/>
                <w:lang w:val="en-GB"/>
              </w:rPr>
              <w:t>Audience:</w:t>
            </w:r>
            <w:r w:rsidRPr="008A7F56">
              <w:rPr>
                <w:lang w:val="en-GB"/>
              </w:rPr>
              <w:t> </w:t>
            </w:r>
          </w:p>
        </w:tc>
        <w:tc>
          <w:tcPr>
            <w:tcW w:w="7035" w:type="dxa"/>
            <w:tcBorders>
              <w:top w:val="single" w:sz="6" w:space="0" w:color="auto"/>
              <w:left w:val="single" w:sz="6" w:space="0" w:color="auto"/>
              <w:bottom w:val="single" w:sz="6" w:space="0" w:color="auto"/>
              <w:right w:val="single" w:sz="6" w:space="0" w:color="auto"/>
            </w:tcBorders>
            <w:hideMark/>
          </w:tcPr>
          <w:p w14:paraId="15558116" w14:textId="77777777" w:rsidR="008A7F56" w:rsidRPr="008A7F56" w:rsidRDefault="008A7F56" w:rsidP="008A7F56">
            <w:pPr>
              <w:rPr>
                <w:b/>
                <w:bCs/>
                <w:lang w:val="en-GB"/>
              </w:rPr>
            </w:pPr>
            <w:r w:rsidRPr="008A7F56">
              <w:rPr>
                <w:b/>
                <w:bCs/>
                <w:lang w:val="en-GB"/>
              </w:rPr>
              <w:t>All </w:t>
            </w:r>
          </w:p>
        </w:tc>
      </w:tr>
    </w:tbl>
    <w:p w14:paraId="2C378BDB" w14:textId="77777777" w:rsidR="00C45A47" w:rsidRDefault="00C45A47">
      <w:pPr>
        <w:sectPr w:rsidR="00C45A47">
          <w:pgSz w:w="12240" w:h="15840"/>
          <w:pgMar w:top="1440" w:right="1440" w:bottom="1440" w:left="1440" w:header="720" w:footer="720" w:gutter="0"/>
          <w:cols w:space="720"/>
          <w:docGrid w:linePitch="360"/>
        </w:sectPr>
      </w:pPr>
    </w:p>
    <w:p w14:paraId="69FD1D5C" w14:textId="77777777" w:rsidR="00C45A47" w:rsidRDefault="008A7F56">
      <w:pPr>
        <w:pStyle w:val="Heading1"/>
      </w:pPr>
      <w:r>
        <w:lastRenderedPageBreak/>
        <w:t>Contents</w:t>
      </w:r>
    </w:p>
    <w:p w14:paraId="2E5C333B" w14:textId="77777777" w:rsidR="00C45A47" w:rsidRDefault="008A7F56" w:rsidP="00E07D3B">
      <w:pPr>
        <w:pStyle w:val="ListNumber"/>
        <w:numPr>
          <w:ilvl w:val="0"/>
          <w:numId w:val="0"/>
        </w:numPr>
      </w:pPr>
      <w:r>
        <w:t>1. Bullying Definitions</w:t>
      </w:r>
    </w:p>
    <w:p w14:paraId="22262BFD" w14:textId="77777777" w:rsidR="00C45A47" w:rsidRDefault="008A7F56" w:rsidP="00E07D3B">
      <w:pPr>
        <w:pStyle w:val="ListNumber"/>
        <w:numPr>
          <w:ilvl w:val="0"/>
          <w:numId w:val="0"/>
        </w:numPr>
      </w:pPr>
      <w:r>
        <w:t>2. Types of Bullying</w:t>
      </w:r>
    </w:p>
    <w:p w14:paraId="2D723C50" w14:textId="77777777" w:rsidR="00C45A47" w:rsidRDefault="008A7F56" w:rsidP="00E07D3B">
      <w:pPr>
        <w:pStyle w:val="ListNumber"/>
        <w:numPr>
          <w:ilvl w:val="0"/>
          <w:numId w:val="0"/>
        </w:numPr>
      </w:pPr>
      <w:r>
        <w:t>3. Aims</w:t>
      </w:r>
    </w:p>
    <w:p w14:paraId="128093C5" w14:textId="77777777" w:rsidR="00C45A47" w:rsidRDefault="008A7F56" w:rsidP="00E07D3B">
      <w:pPr>
        <w:pStyle w:val="ListNumber"/>
        <w:numPr>
          <w:ilvl w:val="0"/>
          <w:numId w:val="0"/>
        </w:numPr>
      </w:pPr>
      <w:r>
        <w:t>4. Criminal Offence</w:t>
      </w:r>
    </w:p>
    <w:p w14:paraId="69B1A3B6" w14:textId="77777777" w:rsidR="00C45A47" w:rsidRDefault="008A7F56" w:rsidP="00E07D3B">
      <w:pPr>
        <w:pStyle w:val="ListNumber"/>
        <w:numPr>
          <w:ilvl w:val="0"/>
          <w:numId w:val="0"/>
        </w:numPr>
      </w:pPr>
      <w:r>
        <w:t>5. Bullying and Vulnerable Students</w:t>
      </w:r>
    </w:p>
    <w:p w14:paraId="5EE27154" w14:textId="77777777" w:rsidR="00C45A47" w:rsidRDefault="008A7F56" w:rsidP="00E07D3B">
      <w:pPr>
        <w:pStyle w:val="ListNumber"/>
        <w:numPr>
          <w:ilvl w:val="0"/>
          <w:numId w:val="0"/>
        </w:numPr>
      </w:pPr>
      <w:r>
        <w:t>6. Action to Be Taken if Bullying Has Occurred</w:t>
      </w:r>
    </w:p>
    <w:p w14:paraId="30229928" w14:textId="77777777" w:rsidR="00C45A47" w:rsidRDefault="008A7F56" w:rsidP="00E07D3B">
      <w:pPr>
        <w:pStyle w:val="ListNumber"/>
        <w:numPr>
          <w:ilvl w:val="0"/>
          <w:numId w:val="0"/>
        </w:numPr>
      </w:pPr>
      <w:r>
        <w:t>7. Strategies to Reduce Bullying</w:t>
      </w:r>
    </w:p>
    <w:p w14:paraId="3A5A4DC0" w14:textId="77777777" w:rsidR="00C45A47" w:rsidRDefault="008A7F56" w:rsidP="00E07D3B">
      <w:pPr>
        <w:pStyle w:val="ListNumber"/>
        <w:numPr>
          <w:ilvl w:val="0"/>
          <w:numId w:val="0"/>
        </w:numPr>
      </w:pPr>
      <w:r>
        <w:t>8. Intervention Strategies</w:t>
      </w:r>
    </w:p>
    <w:p w14:paraId="35659DC3" w14:textId="77777777" w:rsidR="00C45A47" w:rsidRDefault="008A7F56" w:rsidP="00E07D3B">
      <w:pPr>
        <w:pStyle w:val="ListNumber"/>
        <w:numPr>
          <w:ilvl w:val="0"/>
          <w:numId w:val="0"/>
        </w:numPr>
      </w:pPr>
      <w:r>
        <w:t>9. Procedure for Students</w:t>
      </w:r>
    </w:p>
    <w:p w14:paraId="1662019B" w14:textId="77777777" w:rsidR="00C45A47" w:rsidRDefault="008A7F56" w:rsidP="00E07D3B">
      <w:pPr>
        <w:pStyle w:val="ListNumber"/>
        <w:numPr>
          <w:ilvl w:val="0"/>
          <w:numId w:val="0"/>
        </w:numPr>
      </w:pPr>
      <w:r>
        <w:t>10. Useful Websites to Help</w:t>
      </w:r>
    </w:p>
    <w:p w14:paraId="48E460E3" w14:textId="77777777" w:rsidR="00C45A47" w:rsidRDefault="008A7F56" w:rsidP="00E07D3B">
      <w:pPr>
        <w:pStyle w:val="ListNumber"/>
        <w:numPr>
          <w:ilvl w:val="0"/>
          <w:numId w:val="0"/>
        </w:numPr>
      </w:pPr>
      <w:r>
        <w:t>11. Monitoring and Review</w:t>
      </w:r>
    </w:p>
    <w:p w14:paraId="7C65CC89" w14:textId="77777777" w:rsidR="00C45A47" w:rsidRDefault="008A7F56" w:rsidP="00E07D3B">
      <w:pPr>
        <w:pStyle w:val="ListNumber"/>
        <w:numPr>
          <w:ilvl w:val="0"/>
          <w:numId w:val="0"/>
        </w:numPr>
      </w:pPr>
      <w:r>
        <w:t>12. Links to Other Policies</w:t>
      </w:r>
    </w:p>
    <w:p w14:paraId="6864AF6F" w14:textId="77777777" w:rsidR="00C45A47" w:rsidRDefault="008A7F56" w:rsidP="00E07D3B">
      <w:pPr>
        <w:pStyle w:val="ListNumber"/>
        <w:numPr>
          <w:ilvl w:val="0"/>
          <w:numId w:val="0"/>
        </w:numPr>
      </w:pPr>
      <w:r>
        <w:t>13. School Behaviour Values: Ready, Respectful, Safe</w:t>
      </w:r>
    </w:p>
    <w:p w14:paraId="79AB2557" w14:textId="77777777" w:rsidR="00C45A47" w:rsidRDefault="008A7F56">
      <w:r>
        <w:br/>
        <w:t xml:space="preserve">The School Standards and Framework Act 1998 </w:t>
      </w:r>
      <w:proofErr w:type="gramStart"/>
      <w:r>
        <w:t>requires</w:t>
      </w:r>
      <w:proofErr w:type="gramEnd"/>
      <w:r>
        <w:t xml:space="preserve"> maintained schools to have an anti-bullying policy. This policy has been written with reference to:</w:t>
      </w:r>
    </w:p>
    <w:p w14:paraId="35C469A6" w14:textId="77777777" w:rsidR="00C45A47" w:rsidRDefault="008A7F56">
      <w:pPr>
        <w:pStyle w:val="ListBullet"/>
      </w:pPr>
      <w:r>
        <w:t>Keeping Children Safe in Education</w:t>
      </w:r>
    </w:p>
    <w:p w14:paraId="4B15E6A3" w14:textId="77777777" w:rsidR="00C45A47" w:rsidRDefault="008A7F56">
      <w:pPr>
        <w:pStyle w:val="ListBullet"/>
      </w:pPr>
      <w:r>
        <w:t>DfE Exclusions Guidance</w:t>
      </w:r>
    </w:p>
    <w:p w14:paraId="223DD32F" w14:textId="77777777" w:rsidR="00C45A47" w:rsidRDefault="008A7F56">
      <w:pPr>
        <w:pStyle w:val="ListBullet"/>
      </w:pPr>
      <w:r>
        <w:t>Working Together to Safeguard Children</w:t>
      </w:r>
    </w:p>
    <w:p w14:paraId="38DB6EFE" w14:textId="77777777" w:rsidR="00C45A47" w:rsidRDefault="008A7F56">
      <w:pPr>
        <w:pStyle w:val="ListBullet"/>
      </w:pPr>
      <w:r>
        <w:t>Safe to Learn</w:t>
      </w:r>
    </w:p>
    <w:p w14:paraId="553DD399" w14:textId="77777777" w:rsidR="00C45A47" w:rsidRDefault="008A7F56">
      <w:pPr>
        <w:pStyle w:val="ListBullet"/>
      </w:pPr>
      <w:r>
        <w:t>Education Act 2002</w:t>
      </w:r>
    </w:p>
    <w:p w14:paraId="3FEB7FCE" w14:textId="77777777" w:rsidR="00C45A47" w:rsidRDefault="008A7F56">
      <w:pPr>
        <w:pStyle w:val="ListBullet"/>
      </w:pPr>
      <w:r>
        <w:t>Human Rights Act 1998</w:t>
      </w:r>
    </w:p>
    <w:p w14:paraId="4892D8E7" w14:textId="77777777" w:rsidR="00C45A47" w:rsidRDefault="008A7F56">
      <w:pPr>
        <w:pStyle w:val="ListBullet"/>
      </w:pPr>
      <w:r>
        <w:t>Health and Safety at Work Act 1974</w:t>
      </w:r>
    </w:p>
    <w:p w14:paraId="4497F24E" w14:textId="77777777" w:rsidR="00C45A47" w:rsidRDefault="008A7F56">
      <w:pPr>
        <w:pStyle w:val="ListBullet"/>
      </w:pPr>
      <w:r>
        <w:t>Equality Act 2010</w:t>
      </w:r>
    </w:p>
    <w:p w14:paraId="143772C1" w14:textId="77777777" w:rsidR="00C45A47" w:rsidRDefault="008A7F56">
      <w:pPr>
        <w:pStyle w:val="ListBullet"/>
      </w:pPr>
      <w:r>
        <w:t>Preventing and Tackling Bullying (DfE)</w:t>
      </w:r>
    </w:p>
    <w:p w14:paraId="5004559F" w14:textId="77777777" w:rsidR="00E07D3B" w:rsidRDefault="00E07D3B" w:rsidP="00E07D3B">
      <w:pPr>
        <w:pStyle w:val="ListBullet"/>
        <w:numPr>
          <w:ilvl w:val="0"/>
          <w:numId w:val="0"/>
        </w:numPr>
        <w:ind w:left="360" w:hanging="360"/>
      </w:pPr>
    </w:p>
    <w:p w14:paraId="5B8E6D22" w14:textId="77777777" w:rsidR="00E07D3B" w:rsidRDefault="00E07D3B" w:rsidP="00E07D3B">
      <w:pPr>
        <w:pStyle w:val="ListBullet"/>
        <w:numPr>
          <w:ilvl w:val="0"/>
          <w:numId w:val="0"/>
        </w:numPr>
        <w:ind w:left="360" w:hanging="360"/>
      </w:pPr>
    </w:p>
    <w:p w14:paraId="76926B51" w14:textId="77777777" w:rsidR="00E07D3B" w:rsidRDefault="00E07D3B" w:rsidP="00E07D3B">
      <w:pPr>
        <w:pStyle w:val="ListBullet"/>
        <w:numPr>
          <w:ilvl w:val="0"/>
          <w:numId w:val="0"/>
        </w:numPr>
        <w:ind w:left="360" w:hanging="360"/>
      </w:pPr>
    </w:p>
    <w:p w14:paraId="31B36E1A" w14:textId="77777777" w:rsidR="00E07D3B" w:rsidRDefault="00E07D3B" w:rsidP="00E07D3B">
      <w:pPr>
        <w:pStyle w:val="ListBullet"/>
        <w:numPr>
          <w:ilvl w:val="0"/>
          <w:numId w:val="0"/>
        </w:numPr>
        <w:ind w:left="360" w:hanging="360"/>
      </w:pPr>
    </w:p>
    <w:p w14:paraId="794309DB" w14:textId="77777777" w:rsidR="00E07D3B" w:rsidRDefault="00E07D3B" w:rsidP="00E07D3B">
      <w:pPr>
        <w:pStyle w:val="ListBullet"/>
        <w:numPr>
          <w:ilvl w:val="0"/>
          <w:numId w:val="0"/>
        </w:numPr>
        <w:ind w:left="360" w:hanging="360"/>
      </w:pPr>
    </w:p>
    <w:p w14:paraId="32BA218D" w14:textId="77777777" w:rsidR="00E07D3B" w:rsidRDefault="00E07D3B" w:rsidP="00E07D3B">
      <w:pPr>
        <w:pStyle w:val="ListBullet"/>
        <w:numPr>
          <w:ilvl w:val="0"/>
          <w:numId w:val="0"/>
        </w:numPr>
        <w:ind w:left="360" w:hanging="360"/>
      </w:pPr>
    </w:p>
    <w:p w14:paraId="5BF71457" w14:textId="77777777" w:rsidR="00E07D3B" w:rsidRDefault="00E07D3B" w:rsidP="00E07D3B">
      <w:pPr>
        <w:pStyle w:val="ListBullet"/>
        <w:numPr>
          <w:ilvl w:val="0"/>
          <w:numId w:val="0"/>
        </w:numPr>
        <w:ind w:left="360" w:hanging="360"/>
      </w:pPr>
    </w:p>
    <w:p w14:paraId="59724A1F" w14:textId="77777777" w:rsidR="00E07D3B" w:rsidRDefault="00E07D3B" w:rsidP="00E07D3B">
      <w:pPr>
        <w:pStyle w:val="ListBullet"/>
        <w:numPr>
          <w:ilvl w:val="0"/>
          <w:numId w:val="0"/>
        </w:numPr>
        <w:ind w:left="360" w:hanging="360"/>
      </w:pPr>
    </w:p>
    <w:p w14:paraId="03A6F3A3" w14:textId="77777777" w:rsidR="00E07D3B" w:rsidRDefault="00E07D3B" w:rsidP="00E07D3B">
      <w:pPr>
        <w:pStyle w:val="ListBullet"/>
        <w:numPr>
          <w:ilvl w:val="0"/>
          <w:numId w:val="0"/>
        </w:numPr>
        <w:ind w:left="360" w:hanging="360"/>
      </w:pPr>
    </w:p>
    <w:p w14:paraId="2E3A167A" w14:textId="77777777" w:rsidR="00C45A47" w:rsidRDefault="008A7F56">
      <w:pPr>
        <w:pStyle w:val="Heading1"/>
      </w:pPr>
      <w:r>
        <w:lastRenderedPageBreak/>
        <w:t>1. Bullying Definitions</w:t>
      </w:r>
    </w:p>
    <w:p w14:paraId="057D214A" w14:textId="77777777" w:rsidR="00C45A47" w:rsidRDefault="008A7F56">
      <w:r>
        <w:t>Stopbullying.gov: "Bullying is unwanted, aggressive behaviour among school-aged children that involves a real or perceived power imbalance. The behaviour is repeated or has the potential to be repeated over time."</w:t>
      </w:r>
    </w:p>
    <w:p w14:paraId="2C72B4A1" w14:textId="77777777" w:rsidR="00C45A47" w:rsidRDefault="008A7F56">
      <w:r>
        <w:t>NSPCC: "Bullying is behaviour that hurts someone else – such as name calling, hitting, pushing, spreading rumours, threatening or undermining someone. It’s usually repeated and can hurt a child both physically and emotionally."</w:t>
      </w:r>
    </w:p>
    <w:p w14:paraId="4788466D" w14:textId="77777777" w:rsidR="00C45A47" w:rsidRDefault="008A7F56">
      <w:r>
        <w:t>George Robinson (1995): Bullying is deliberately hurtful behaviour, repeated over time and difficult for those being bullied to stop.</w:t>
      </w:r>
    </w:p>
    <w:p w14:paraId="52029771" w14:textId="77777777" w:rsidR="00C45A47" w:rsidRDefault="008A7F56">
      <w:pPr>
        <w:pStyle w:val="Heading1"/>
      </w:pPr>
      <w:r>
        <w:t>2. Types of Bullying</w:t>
      </w:r>
    </w:p>
    <w:p w14:paraId="4878ADB5" w14:textId="77777777" w:rsidR="00C45A47" w:rsidRDefault="008A7F56" w:rsidP="00E07D3B">
      <w:pPr>
        <w:pStyle w:val="ListParagraph"/>
        <w:numPr>
          <w:ilvl w:val="0"/>
          <w:numId w:val="10"/>
        </w:numPr>
      </w:pPr>
      <w:r>
        <w:t>Violent behaviour or assault</w:t>
      </w:r>
    </w:p>
    <w:p w14:paraId="58ACC28F" w14:textId="77777777" w:rsidR="00C45A47" w:rsidRDefault="008A7F56" w:rsidP="00E07D3B">
      <w:pPr>
        <w:pStyle w:val="ListParagraph"/>
        <w:numPr>
          <w:ilvl w:val="0"/>
          <w:numId w:val="10"/>
        </w:numPr>
      </w:pPr>
      <w:r>
        <w:t>Name calling</w:t>
      </w:r>
    </w:p>
    <w:p w14:paraId="76B0BE90" w14:textId="77777777" w:rsidR="00C45A47" w:rsidRDefault="008A7F56" w:rsidP="00E07D3B">
      <w:pPr>
        <w:pStyle w:val="ListParagraph"/>
        <w:numPr>
          <w:ilvl w:val="0"/>
          <w:numId w:val="10"/>
        </w:numPr>
      </w:pPr>
      <w:r>
        <w:t>Coercion into actions against someone’s wishes</w:t>
      </w:r>
    </w:p>
    <w:p w14:paraId="758B999D" w14:textId="77777777" w:rsidR="00C45A47" w:rsidRDefault="008A7F56" w:rsidP="00E07D3B">
      <w:pPr>
        <w:pStyle w:val="ListParagraph"/>
        <w:numPr>
          <w:ilvl w:val="0"/>
          <w:numId w:val="10"/>
        </w:numPr>
      </w:pPr>
      <w:r>
        <w:t>Teasing</w:t>
      </w:r>
    </w:p>
    <w:p w14:paraId="07910D41" w14:textId="77777777" w:rsidR="00C45A47" w:rsidRDefault="008A7F56" w:rsidP="00E07D3B">
      <w:pPr>
        <w:pStyle w:val="ListParagraph"/>
        <w:numPr>
          <w:ilvl w:val="0"/>
          <w:numId w:val="10"/>
        </w:numPr>
      </w:pPr>
      <w:r>
        <w:t>Intimidation</w:t>
      </w:r>
    </w:p>
    <w:p w14:paraId="62B63BC5" w14:textId="77777777" w:rsidR="00C45A47" w:rsidRDefault="008A7F56" w:rsidP="00E07D3B">
      <w:pPr>
        <w:pStyle w:val="ListParagraph"/>
        <w:numPr>
          <w:ilvl w:val="0"/>
          <w:numId w:val="10"/>
        </w:numPr>
      </w:pPr>
      <w:r>
        <w:t>Physical contact such as pushing or pinching</w:t>
      </w:r>
    </w:p>
    <w:p w14:paraId="041FE783" w14:textId="77777777" w:rsidR="00C45A47" w:rsidRDefault="008A7F56" w:rsidP="00E07D3B">
      <w:pPr>
        <w:pStyle w:val="ListParagraph"/>
        <w:numPr>
          <w:ilvl w:val="0"/>
          <w:numId w:val="10"/>
        </w:numPr>
      </w:pPr>
      <w:r>
        <w:t>Damage to work or property</w:t>
      </w:r>
    </w:p>
    <w:p w14:paraId="57013221" w14:textId="77777777" w:rsidR="00C45A47" w:rsidRDefault="008A7F56" w:rsidP="00E07D3B">
      <w:pPr>
        <w:pStyle w:val="ListParagraph"/>
        <w:numPr>
          <w:ilvl w:val="0"/>
          <w:numId w:val="10"/>
        </w:numPr>
      </w:pPr>
      <w:r>
        <w:t>Offensive comments or spreading rumours</w:t>
      </w:r>
    </w:p>
    <w:p w14:paraId="63ECF5E6" w14:textId="77777777" w:rsidR="00C45A47" w:rsidRDefault="008A7F56" w:rsidP="00E07D3B">
      <w:pPr>
        <w:pStyle w:val="ListParagraph"/>
        <w:numPr>
          <w:ilvl w:val="0"/>
          <w:numId w:val="10"/>
        </w:numPr>
      </w:pPr>
      <w:r>
        <w:t>Exclusion from groups or activities</w:t>
      </w:r>
    </w:p>
    <w:p w14:paraId="14A27790" w14:textId="77777777" w:rsidR="00C45A47" w:rsidRDefault="008A7F56" w:rsidP="00E07D3B">
      <w:pPr>
        <w:pStyle w:val="ListParagraph"/>
        <w:numPr>
          <w:ilvl w:val="0"/>
          <w:numId w:val="10"/>
        </w:numPr>
      </w:pPr>
      <w:r>
        <w:t>Cyberbullying</w:t>
      </w:r>
    </w:p>
    <w:p w14:paraId="37D17E38" w14:textId="77777777" w:rsidR="00C45A47" w:rsidRDefault="008A7F56" w:rsidP="00E07D3B">
      <w:pPr>
        <w:pStyle w:val="ListParagraph"/>
        <w:numPr>
          <w:ilvl w:val="0"/>
          <w:numId w:val="10"/>
        </w:numPr>
      </w:pPr>
      <w:r>
        <w:t>Racist, homophobic, transphobic, gender-based or disability-related bullying</w:t>
      </w:r>
    </w:p>
    <w:p w14:paraId="7AE3F8F1" w14:textId="77777777" w:rsidR="00C45A47" w:rsidRDefault="008A7F56">
      <w:pPr>
        <w:pStyle w:val="Heading1"/>
      </w:pPr>
      <w:r>
        <w:t>3. Aims</w:t>
      </w:r>
    </w:p>
    <w:p w14:paraId="16D22426" w14:textId="77777777" w:rsidR="00C45A47" w:rsidRDefault="008A7F56" w:rsidP="00E07D3B">
      <w:pPr>
        <w:pStyle w:val="ListParagraph"/>
        <w:numPr>
          <w:ilvl w:val="0"/>
          <w:numId w:val="11"/>
        </w:numPr>
      </w:pPr>
      <w:r>
        <w:t>To prevent bullying by creating a positive, inclusive environment.</w:t>
      </w:r>
    </w:p>
    <w:p w14:paraId="16C17D2E" w14:textId="77777777" w:rsidR="00C45A47" w:rsidRDefault="008A7F56" w:rsidP="00E07D3B">
      <w:pPr>
        <w:pStyle w:val="ListParagraph"/>
        <w:numPr>
          <w:ilvl w:val="0"/>
          <w:numId w:val="11"/>
        </w:numPr>
      </w:pPr>
      <w:r>
        <w:t>To ensure students feel safe and supported when reporting bullying.</w:t>
      </w:r>
    </w:p>
    <w:p w14:paraId="17EC0A1B" w14:textId="77777777" w:rsidR="00C45A47" w:rsidRDefault="008A7F56" w:rsidP="00E07D3B">
      <w:pPr>
        <w:pStyle w:val="ListParagraph"/>
        <w:numPr>
          <w:ilvl w:val="0"/>
          <w:numId w:val="11"/>
        </w:numPr>
      </w:pPr>
      <w:r>
        <w:t>To provide clear restorative procedures for all involved.</w:t>
      </w:r>
    </w:p>
    <w:p w14:paraId="554C70B8" w14:textId="77777777" w:rsidR="00C45A47" w:rsidRDefault="008A7F56" w:rsidP="00E07D3B">
      <w:pPr>
        <w:pStyle w:val="ListParagraph"/>
        <w:numPr>
          <w:ilvl w:val="0"/>
          <w:numId w:val="11"/>
        </w:numPr>
      </w:pPr>
      <w:r>
        <w:t>To raise awareness of the impact of bullying.</w:t>
      </w:r>
    </w:p>
    <w:p w14:paraId="708D248C" w14:textId="77777777" w:rsidR="00C45A47" w:rsidRDefault="008A7F56" w:rsidP="00E07D3B">
      <w:pPr>
        <w:pStyle w:val="ListParagraph"/>
        <w:numPr>
          <w:ilvl w:val="0"/>
          <w:numId w:val="11"/>
        </w:numPr>
      </w:pPr>
      <w:r>
        <w:t>To involve parents/carers in all stages where appropriate.</w:t>
      </w:r>
    </w:p>
    <w:p w14:paraId="71C009AA" w14:textId="77777777" w:rsidR="00C45A47" w:rsidRDefault="008A7F56" w:rsidP="00E07D3B">
      <w:pPr>
        <w:pStyle w:val="ListParagraph"/>
        <w:numPr>
          <w:ilvl w:val="0"/>
          <w:numId w:val="11"/>
        </w:numPr>
      </w:pPr>
      <w:r>
        <w:t>To promote understanding of respectful relationships and inclusive language.</w:t>
      </w:r>
    </w:p>
    <w:p w14:paraId="6F3FB3DE" w14:textId="77777777" w:rsidR="00C45A47" w:rsidRDefault="008A7F56">
      <w:pPr>
        <w:pStyle w:val="Heading1"/>
      </w:pPr>
      <w:r>
        <w:t>4. Criminal Offence</w:t>
      </w:r>
    </w:p>
    <w:p w14:paraId="79E44840" w14:textId="77777777" w:rsidR="00C45A47" w:rsidRDefault="008A7F56">
      <w:r>
        <w:t>Although bullying itself is not a criminal offence, harassment, threatening behaviour, and malicious communications may be. Staff should report concerns to the DSL, who will liaise with the police if necessary.</w:t>
      </w:r>
    </w:p>
    <w:p w14:paraId="45B4C226" w14:textId="77777777" w:rsidR="00C45A47" w:rsidRDefault="008A7F56">
      <w:r>
        <w:t>Staff must recognise that safeguarding concerns can arise through peer-on-peer abuse.</w:t>
      </w:r>
    </w:p>
    <w:p w14:paraId="4289123B" w14:textId="77777777" w:rsidR="00C45A47" w:rsidRDefault="008A7F56">
      <w:pPr>
        <w:pStyle w:val="Heading1"/>
      </w:pPr>
      <w:r>
        <w:lastRenderedPageBreak/>
        <w:t>5. Bullying and Vulnerable Students</w:t>
      </w:r>
    </w:p>
    <w:p w14:paraId="1F8D46E4" w14:textId="77777777" w:rsidR="00C45A47" w:rsidRDefault="008A7F56">
      <w:r>
        <w:t>The school recognises that some students may be more vulnerable. Flexible, appropriate support will be provided. Students are encouraged to report concerns confidentially to staff or via safeguarding channels.</w:t>
      </w:r>
    </w:p>
    <w:p w14:paraId="09E54A0F" w14:textId="77777777" w:rsidR="00C45A47" w:rsidRDefault="008A7F56">
      <w:r>
        <w:t>Bullying is addressed throughout the curriculum, including in assemblies, PSHE, drama, ICT and tutor time.</w:t>
      </w:r>
    </w:p>
    <w:p w14:paraId="3C56E1E3" w14:textId="77777777" w:rsidR="00C45A47" w:rsidRDefault="008A7F56">
      <w:pPr>
        <w:pStyle w:val="Heading1"/>
      </w:pPr>
      <w:r>
        <w:t>6. Action to Be Taken if Bullying Has Occurred</w:t>
      </w:r>
    </w:p>
    <w:p w14:paraId="6C24A365" w14:textId="77777777" w:rsidR="00C45A47" w:rsidRDefault="008A7F56" w:rsidP="00E07D3B">
      <w:pPr>
        <w:pStyle w:val="ListParagraph"/>
        <w:numPr>
          <w:ilvl w:val="0"/>
          <w:numId w:val="12"/>
        </w:numPr>
      </w:pPr>
      <w:r>
        <w:t>Immediate support will be offered to the student who has been bullied.</w:t>
      </w:r>
    </w:p>
    <w:p w14:paraId="549D430A" w14:textId="77777777" w:rsidR="00C45A47" w:rsidRDefault="008A7F56" w:rsidP="00E07D3B">
      <w:pPr>
        <w:pStyle w:val="ListParagraph"/>
        <w:numPr>
          <w:ilvl w:val="0"/>
          <w:numId w:val="12"/>
        </w:numPr>
      </w:pPr>
      <w:r>
        <w:t>Written accounts will be obtained from all parties.</w:t>
      </w:r>
    </w:p>
    <w:p w14:paraId="3021BF75" w14:textId="730949D6" w:rsidR="00C45A47" w:rsidRDefault="00E07D3B" w:rsidP="00E07D3B">
      <w:pPr>
        <w:pStyle w:val="ListParagraph"/>
        <w:numPr>
          <w:ilvl w:val="0"/>
          <w:numId w:val="12"/>
        </w:numPr>
      </w:pPr>
      <w:r>
        <w:t>College</w:t>
      </w:r>
      <w:r w:rsidR="008A7F56">
        <w:t xml:space="preserve"> leaders, </w:t>
      </w:r>
      <w:r>
        <w:t>Director of Standards or the DSL</w:t>
      </w:r>
      <w:r w:rsidR="008A7F56">
        <w:t xml:space="preserve"> will be informed.</w:t>
      </w:r>
    </w:p>
    <w:p w14:paraId="19BAC9C4" w14:textId="77777777" w:rsidR="00C45A47" w:rsidRDefault="008A7F56" w:rsidP="00E07D3B">
      <w:pPr>
        <w:pStyle w:val="ListParagraph"/>
        <w:numPr>
          <w:ilvl w:val="0"/>
          <w:numId w:val="12"/>
        </w:numPr>
      </w:pPr>
      <w:r>
        <w:t>Parents/carers of all involved will be contacted.</w:t>
      </w:r>
    </w:p>
    <w:p w14:paraId="4C0DDE84" w14:textId="77777777" w:rsidR="00C45A47" w:rsidRDefault="008A7F56" w:rsidP="00E07D3B">
      <w:pPr>
        <w:pStyle w:val="ListParagraph"/>
        <w:numPr>
          <w:ilvl w:val="0"/>
          <w:numId w:val="12"/>
        </w:numPr>
      </w:pPr>
      <w:r>
        <w:t>Incidents will be recorded and monitored.</w:t>
      </w:r>
    </w:p>
    <w:p w14:paraId="4B1E5248" w14:textId="77777777" w:rsidR="00C45A47" w:rsidRDefault="008A7F56" w:rsidP="00E07D3B">
      <w:pPr>
        <w:pStyle w:val="ListParagraph"/>
        <w:numPr>
          <w:ilvl w:val="0"/>
          <w:numId w:val="12"/>
        </w:numPr>
      </w:pPr>
      <w:r>
        <w:t>Serious cases may result in exclusion.</w:t>
      </w:r>
    </w:p>
    <w:p w14:paraId="6547764F" w14:textId="77777777" w:rsidR="00C45A47" w:rsidRDefault="008A7F56">
      <w:pPr>
        <w:pStyle w:val="Heading1"/>
      </w:pPr>
      <w:r>
        <w:t>7. Strategies to Reduce Bullying</w:t>
      </w:r>
    </w:p>
    <w:p w14:paraId="0192B2F5" w14:textId="6AC4061B" w:rsidR="00C45A47" w:rsidRDefault="008A7F56" w:rsidP="00E07D3B">
      <w:pPr>
        <w:pStyle w:val="ListParagraph"/>
        <w:numPr>
          <w:ilvl w:val="0"/>
          <w:numId w:val="13"/>
        </w:numPr>
      </w:pPr>
      <w:r>
        <w:t xml:space="preserve">Anti-bullying education </w:t>
      </w:r>
      <w:proofErr w:type="gramStart"/>
      <w:r>
        <w:t>embedded</w:t>
      </w:r>
      <w:proofErr w:type="gramEnd"/>
      <w:r>
        <w:t xml:space="preserve"> across the </w:t>
      </w:r>
      <w:r w:rsidR="00E07D3B">
        <w:t xml:space="preserve">personal development </w:t>
      </w:r>
      <w:r>
        <w:t>curriculum.</w:t>
      </w:r>
    </w:p>
    <w:p w14:paraId="73E816F3" w14:textId="77777777" w:rsidR="00C45A47" w:rsidRDefault="008A7F56" w:rsidP="00E07D3B">
      <w:pPr>
        <w:pStyle w:val="ListParagraph"/>
        <w:numPr>
          <w:ilvl w:val="0"/>
          <w:numId w:val="13"/>
        </w:numPr>
      </w:pPr>
      <w:r>
        <w:t>Pastoral programmes and assemblies.</w:t>
      </w:r>
    </w:p>
    <w:p w14:paraId="29C56017" w14:textId="77777777" w:rsidR="00C45A47" w:rsidRDefault="008A7F56" w:rsidP="00E07D3B">
      <w:pPr>
        <w:pStyle w:val="ListParagraph"/>
        <w:numPr>
          <w:ilvl w:val="0"/>
          <w:numId w:val="13"/>
        </w:numPr>
      </w:pPr>
      <w:r>
        <w:t xml:space="preserve">Participation in </w:t>
      </w:r>
      <w:proofErr w:type="gramStart"/>
      <w:r>
        <w:t>national</w:t>
      </w:r>
      <w:proofErr w:type="gramEnd"/>
      <w:r>
        <w:t xml:space="preserve"> Anti-Bullying Week.</w:t>
      </w:r>
    </w:p>
    <w:p w14:paraId="14042275" w14:textId="77777777" w:rsidR="00C45A47" w:rsidRDefault="008A7F56" w:rsidP="00E07D3B">
      <w:pPr>
        <w:pStyle w:val="ListParagraph"/>
        <w:numPr>
          <w:ilvl w:val="0"/>
          <w:numId w:val="13"/>
        </w:numPr>
      </w:pPr>
      <w:r>
        <w:t xml:space="preserve">Peer </w:t>
      </w:r>
      <w:proofErr w:type="gramStart"/>
      <w:r>
        <w:t>support</w:t>
      </w:r>
      <w:proofErr w:type="gramEnd"/>
      <w:r>
        <w:t xml:space="preserve"> programmes.</w:t>
      </w:r>
    </w:p>
    <w:p w14:paraId="7DAA9CA5" w14:textId="77777777" w:rsidR="00C45A47" w:rsidRDefault="008A7F56" w:rsidP="00E07D3B">
      <w:pPr>
        <w:pStyle w:val="ListParagraph"/>
        <w:numPr>
          <w:ilvl w:val="0"/>
          <w:numId w:val="13"/>
        </w:numPr>
      </w:pPr>
      <w:r>
        <w:t>Staff training and updates.</w:t>
      </w:r>
    </w:p>
    <w:p w14:paraId="15486459" w14:textId="77777777" w:rsidR="00C45A47" w:rsidRDefault="008A7F56">
      <w:pPr>
        <w:pStyle w:val="Heading1"/>
      </w:pPr>
      <w:r>
        <w:t>8. Intervention Strategies</w:t>
      </w:r>
    </w:p>
    <w:p w14:paraId="153E6E4C" w14:textId="77777777" w:rsidR="00C45A47" w:rsidRDefault="008A7F56" w:rsidP="00E07D3B">
      <w:pPr>
        <w:pStyle w:val="ListParagraph"/>
        <w:numPr>
          <w:ilvl w:val="0"/>
          <w:numId w:val="14"/>
        </w:numPr>
      </w:pPr>
      <w:r>
        <w:t>Safe spaces and reporting systems.</w:t>
      </w:r>
    </w:p>
    <w:p w14:paraId="171A036C" w14:textId="77777777" w:rsidR="00C45A47" w:rsidRDefault="008A7F56" w:rsidP="00E07D3B">
      <w:pPr>
        <w:pStyle w:val="ListParagraph"/>
        <w:numPr>
          <w:ilvl w:val="0"/>
          <w:numId w:val="14"/>
        </w:numPr>
      </w:pPr>
      <w:r>
        <w:t>Restorative meetings.</w:t>
      </w:r>
    </w:p>
    <w:p w14:paraId="54E0B540" w14:textId="77777777" w:rsidR="00C45A47" w:rsidRDefault="008A7F56" w:rsidP="00E07D3B">
      <w:pPr>
        <w:pStyle w:val="ListParagraph"/>
        <w:numPr>
          <w:ilvl w:val="0"/>
          <w:numId w:val="14"/>
        </w:numPr>
      </w:pPr>
      <w:r>
        <w:t>Support from external agencies where appropriate.</w:t>
      </w:r>
    </w:p>
    <w:p w14:paraId="4B9642DF" w14:textId="77777777" w:rsidR="00C45A47" w:rsidRDefault="008A7F56" w:rsidP="00E07D3B">
      <w:pPr>
        <w:pStyle w:val="ListParagraph"/>
        <w:numPr>
          <w:ilvl w:val="0"/>
          <w:numId w:val="14"/>
        </w:numPr>
      </w:pPr>
      <w:r>
        <w:t>Staff and Academy Councillors will review strategy effectiveness.</w:t>
      </w:r>
    </w:p>
    <w:p w14:paraId="56F32F62" w14:textId="77777777" w:rsidR="00E07D3B" w:rsidRDefault="008A7F56">
      <w:pPr>
        <w:pStyle w:val="Heading1"/>
      </w:pPr>
      <w:r>
        <w:lastRenderedPageBreak/>
        <w:t>9. Procedure for Students</w:t>
      </w:r>
    </w:p>
    <w:p w14:paraId="699EB227" w14:textId="77777777" w:rsidR="00E07D3B" w:rsidRDefault="00E07D3B">
      <w:pPr>
        <w:pStyle w:val="Heading1"/>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 xml:space="preserve">All staff are to ensure that students feel confident that their problem will be heard and that their views will be considered. Staff have access to the anti-bullying student entitlements, which are displayed in every classroom. It is important that students know: </w:t>
      </w:r>
    </w:p>
    <w:p w14:paraId="72A9B0E7" w14:textId="72F48234" w:rsidR="00E07D3B" w:rsidRDefault="00E07D3B">
      <w:pPr>
        <w:pStyle w:val="Heading1"/>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WHO TO REPORT TO: any member of</w:t>
      </w:r>
      <w:r>
        <w:rPr>
          <w:rFonts w:asciiTheme="minorHAnsi" w:eastAsiaTheme="minorEastAsia" w:hAnsiTheme="minorHAnsi" w:cstheme="minorBidi"/>
          <w:b w:val="0"/>
          <w:bCs w:val="0"/>
          <w:color w:val="auto"/>
          <w:sz w:val="22"/>
          <w:szCs w:val="22"/>
        </w:rPr>
        <w:t xml:space="preserve"> </w:t>
      </w:r>
      <w:r w:rsidRPr="00E07D3B">
        <w:rPr>
          <w:rFonts w:asciiTheme="minorHAnsi" w:eastAsiaTheme="minorEastAsia" w:hAnsiTheme="minorHAnsi" w:cstheme="minorBidi"/>
          <w:b w:val="0"/>
          <w:bCs w:val="0"/>
          <w:color w:val="auto"/>
          <w:sz w:val="22"/>
          <w:szCs w:val="22"/>
        </w:rPr>
        <w:t xml:space="preserve">staff within the school. They will ensure that the appropriate Director of </w:t>
      </w:r>
      <w:r>
        <w:rPr>
          <w:rFonts w:asciiTheme="minorHAnsi" w:eastAsiaTheme="minorEastAsia" w:hAnsiTheme="minorHAnsi" w:cstheme="minorBidi"/>
          <w:b w:val="0"/>
          <w:bCs w:val="0"/>
          <w:color w:val="auto"/>
          <w:sz w:val="22"/>
          <w:szCs w:val="22"/>
        </w:rPr>
        <w:t>Standards</w:t>
      </w:r>
      <w:r w:rsidRPr="00E07D3B">
        <w:rPr>
          <w:rFonts w:asciiTheme="minorHAnsi" w:eastAsiaTheme="minorEastAsia" w:hAnsiTheme="minorHAnsi" w:cstheme="minorBidi"/>
          <w:b w:val="0"/>
          <w:bCs w:val="0"/>
          <w:color w:val="auto"/>
          <w:sz w:val="22"/>
          <w:szCs w:val="22"/>
        </w:rPr>
        <w:t xml:space="preserve"> is informed via CPOMS of the investigation and they in turn will report back to the </w:t>
      </w:r>
      <w:r>
        <w:rPr>
          <w:rFonts w:asciiTheme="minorHAnsi" w:eastAsiaTheme="minorEastAsia" w:hAnsiTheme="minorHAnsi" w:cstheme="minorBidi"/>
          <w:b w:val="0"/>
          <w:bCs w:val="0"/>
          <w:color w:val="auto"/>
          <w:sz w:val="22"/>
          <w:szCs w:val="22"/>
        </w:rPr>
        <w:t xml:space="preserve">College lead </w:t>
      </w:r>
      <w:r w:rsidRPr="00E07D3B">
        <w:rPr>
          <w:rFonts w:asciiTheme="minorHAnsi" w:eastAsiaTheme="minorEastAsia" w:hAnsiTheme="minorHAnsi" w:cstheme="minorBidi"/>
          <w:b w:val="0"/>
          <w:bCs w:val="0"/>
          <w:color w:val="auto"/>
          <w:sz w:val="22"/>
          <w:szCs w:val="22"/>
        </w:rPr>
        <w:t>link. Students can also report any concerns to safeguarding@w</w:t>
      </w:r>
      <w:r>
        <w:rPr>
          <w:rFonts w:asciiTheme="minorHAnsi" w:eastAsiaTheme="minorEastAsia" w:hAnsiTheme="minorHAnsi" w:cstheme="minorBidi"/>
          <w:b w:val="0"/>
          <w:bCs w:val="0"/>
          <w:color w:val="auto"/>
          <w:sz w:val="22"/>
          <w:szCs w:val="22"/>
        </w:rPr>
        <w:t>estleigh</w:t>
      </w:r>
      <w:r w:rsidRPr="00E07D3B">
        <w:rPr>
          <w:rFonts w:asciiTheme="minorHAnsi" w:eastAsiaTheme="minorEastAsia" w:hAnsiTheme="minorHAnsi" w:cstheme="minorBidi"/>
          <w:b w:val="0"/>
          <w:bCs w:val="0"/>
          <w:color w:val="auto"/>
          <w:sz w:val="22"/>
          <w:szCs w:val="22"/>
        </w:rPr>
        <w:t xml:space="preserve">.set.org email account </w:t>
      </w:r>
    </w:p>
    <w:p w14:paraId="24897961" w14:textId="77777777" w:rsidR="008A7F56" w:rsidRDefault="00E07D3B">
      <w:pPr>
        <w:pStyle w:val="Heading1"/>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 xml:space="preserve">HOW TO REPORT AN INCIDENT: Students can talk to any member of staff. Parents, carers and students </w:t>
      </w:r>
      <w:proofErr w:type="gramStart"/>
      <w:r w:rsidR="008A7F56">
        <w:rPr>
          <w:rFonts w:asciiTheme="minorHAnsi" w:eastAsiaTheme="minorEastAsia" w:hAnsiTheme="minorHAnsi" w:cstheme="minorBidi"/>
          <w:b w:val="0"/>
          <w:bCs w:val="0"/>
          <w:color w:val="auto"/>
          <w:sz w:val="22"/>
          <w:szCs w:val="22"/>
        </w:rPr>
        <w:t>are able to</w:t>
      </w:r>
      <w:proofErr w:type="gramEnd"/>
      <w:r w:rsidR="008A7F56">
        <w:rPr>
          <w:rFonts w:asciiTheme="minorHAnsi" w:eastAsiaTheme="minorEastAsia" w:hAnsiTheme="minorHAnsi" w:cstheme="minorBidi"/>
          <w:b w:val="0"/>
          <w:bCs w:val="0"/>
          <w:color w:val="auto"/>
          <w:sz w:val="22"/>
          <w:szCs w:val="22"/>
        </w:rPr>
        <w:t xml:space="preserve"> email</w:t>
      </w:r>
      <w:r w:rsidRPr="00E07D3B">
        <w:rPr>
          <w:rFonts w:asciiTheme="minorHAnsi" w:eastAsiaTheme="minorEastAsia" w:hAnsiTheme="minorHAnsi" w:cstheme="minorBidi"/>
          <w:b w:val="0"/>
          <w:bCs w:val="0"/>
          <w:color w:val="auto"/>
          <w:sz w:val="22"/>
          <w:szCs w:val="22"/>
        </w:rPr>
        <w:t xml:space="preserve"> the safeguarding@w</w:t>
      </w:r>
      <w:r w:rsidR="008A7F56">
        <w:rPr>
          <w:rFonts w:asciiTheme="minorHAnsi" w:eastAsiaTheme="minorEastAsia" w:hAnsiTheme="minorHAnsi" w:cstheme="minorBidi"/>
          <w:b w:val="0"/>
          <w:bCs w:val="0"/>
          <w:color w:val="auto"/>
          <w:sz w:val="22"/>
          <w:szCs w:val="22"/>
        </w:rPr>
        <w:t>estleigh</w:t>
      </w:r>
      <w:r w:rsidRPr="00E07D3B">
        <w:rPr>
          <w:rFonts w:asciiTheme="minorHAnsi" w:eastAsiaTheme="minorEastAsia" w:hAnsiTheme="minorHAnsi" w:cstheme="minorBidi"/>
          <w:b w:val="0"/>
          <w:bCs w:val="0"/>
          <w:color w:val="auto"/>
          <w:sz w:val="22"/>
          <w:szCs w:val="22"/>
        </w:rPr>
        <w:t>.set.org email account</w:t>
      </w:r>
      <w:r w:rsidR="008A7F56">
        <w:rPr>
          <w:rFonts w:asciiTheme="minorHAnsi" w:eastAsiaTheme="minorEastAsia" w:hAnsiTheme="minorHAnsi" w:cstheme="minorBidi"/>
          <w:b w:val="0"/>
          <w:bCs w:val="0"/>
          <w:color w:val="auto"/>
          <w:sz w:val="22"/>
          <w:szCs w:val="22"/>
        </w:rPr>
        <w:t>. This is</w:t>
      </w:r>
      <w:r w:rsidRPr="00E07D3B">
        <w:rPr>
          <w:rFonts w:asciiTheme="minorHAnsi" w:eastAsiaTheme="minorEastAsia" w:hAnsiTheme="minorHAnsi" w:cstheme="minorBidi"/>
          <w:b w:val="0"/>
          <w:bCs w:val="0"/>
          <w:color w:val="auto"/>
          <w:sz w:val="22"/>
          <w:szCs w:val="22"/>
        </w:rPr>
        <w:t xml:space="preserve"> checked daily by the Designated Safeguarding Lead and the Deputy Designated Safeguarding Lead. </w:t>
      </w:r>
    </w:p>
    <w:p w14:paraId="55448665" w14:textId="77777777" w:rsidR="008A7F56" w:rsidRDefault="00E07D3B">
      <w:pPr>
        <w:pStyle w:val="Heading1"/>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 xml:space="preserve">WHERE AND WHEN: Students can report </w:t>
      </w:r>
      <w:proofErr w:type="gramStart"/>
      <w:r w:rsidRPr="00E07D3B">
        <w:rPr>
          <w:rFonts w:asciiTheme="minorHAnsi" w:eastAsiaTheme="minorEastAsia" w:hAnsiTheme="minorHAnsi" w:cstheme="minorBidi"/>
          <w:b w:val="0"/>
          <w:bCs w:val="0"/>
          <w:color w:val="auto"/>
          <w:sz w:val="22"/>
          <w:szCs w:val="22"/>
        </w:rPr>
        <w:t>incidences</w:t>
      </w:r>
      <w:proofErr w:type="gramEnd"/>
      <w:r w:rsidRPr="00E07D3B">
        <w:rPr>
          <w:rFonts w:asciiTheme="minorHAnsi" w:eastAsiaTheme="minorEastAsia" w:hAnsiTheme="minorHAnsi" w:cstheme="minorBidi"/>
          <w:b w:val="0"/>
          <w:bCs w:val="0"/>
          <w:color w:val="auto"/>
          <w:sz w:val="22"/>
          <w:szCs w:val="22"/>
        </w:rPr>
        <w:t xml:space="preserve"> to their Form Tutor during registration or to Pastoral Mentors at break times or lunchtimes. Students may also come directly to the Directors of </w:t>
      </w:r>
      <w:r w:rsidR="008A7F56">
        <w:rPr>
          <w:rFonts w:asciiTheme="minorHAnsi" w:eastAsiaTheme="minorEastAsia" w:hAnsiTheme="minorHAnsi" w:cstheme="minorBidi"/>
          <w:b w:val="0"/>
          <w:bCs w:val="0"/>
          <w:color w:val="auto"/>
          <w:sz w:val="22"/>
          <w:szCs w:val="22"/>
        </w:rPr>
        <w:t>Standards</w:t>
      </w:r>
      <w:r w:rsidRPr="00E07D3B">
        <w:rPr>
          <w:rFonts w:asciiTheme="minorHAnsi" w:eastAsiaTheme="minorEastAsia" w:hAnsiTheme="minorHAnsi" w:cstheme="minorBidi"/>
          <w:b w:val="0"/>
          <w:bCs w:val="0"/>
          <w:color w:val="auto"/>
          <w:sz w:val="22"/>
          <w:szCs w:val="22"/>
        </w:rPr>
        <w:t xml:space="preserve"> offices or the </w:t>
      </w:r>
      <w:r w:rsidR="008A7F56">
        <w:rPr>
          <w:rFonts w:asciiTheme="minorHAnsi" w:eastAsiaTheme="minorEastAsia" w:hAnsiTheme="minorHAnsi" w:cstheme="minorBidi"/>
          <w:b w:val="0"/>
          <w:bCs w:val="0"/>
          <w:color w:val="auto"/>
          <w:sz w:val="22"/>
          <w:szCs w:val="22"/>
        </w:rPr>
        <w:t>College leads</w:t>
      </w:r>
      <w:r w:rsidRPr="00E07D3B">
        <w:rPr>
          <w:rFonts w:asciiTheme="minorHAnsi" w:eastAsiaTheme="minorEastAsia" w:hAnsiTheme="minorHAnsi" w:cstheme="minorBidi"/>
          <w:b w:val="0"/>
          <w:bCs w:val="0"/>
          <w:color w:val="auto"/>
          <w:sz w:val="22"/>
          <w:szCs w:val="22"/>
        </w:rPr>
        <w:t xml:space="preserve"> office to report cases of bullying. Students will be asked to write witness accounts and should be supported to be as truthful as they can. Staff should be sensitive towards students as this can be a difficult process. </w:t>
      </w:r>
    </w:p>
    <w:p w14:paraId="4EEEB111" w14:textId="55706E4E" w:rsidR="00C45A47" w:rsidRDefault="008A7F56">
      <w:pPr>
        <w:pStyle w:val="Heading1"/>
      </w:pPr>
      <w:r>
        <w:t>10. Useful Websites to Help</w:t>
      </w:r>
    </w:p>
    <w:p w14:paraId="74018583" w14:textId="77777777" w:rsidR="00E07D3B" w:rsidRDefault="00E07D3B" w:rsidP="00E07D3B">
      <w:pPr>
        <w:pStyle w:val="Heading1"/>
        <w:spacing w:before="0" w:line="240" w:lineRule="auto"/>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 xml:space="preserve">The following websites and contact details provide further useful support for all stakeholders. </w:t>
      </w:r>
    </w:p>
    <w:p w14:paraId="3A0F6CF2" w14:textId="77777777" w:rsidR="00E07D3B" w:rsidRDefault="00E07D3B" w:rsidP="00E07D3B">
      <w:pPr>
        <w:pStyle w:val="Heading1"/>
        <w:spacing w:before="0" w:line="240" w:lineRule="auto"/>
        <w:rPr>
          <w:rFonts w:asciiTheme="minorHAnsi" w:eastAsiaTheme="minorEastAsia" w:hAnsiTheme="minorHAnsi" w:cstheme="minorBidi"/>
          <w:b w:val="0"/>
          <w:bCs w:val="0"/>
          <w:color w:val="auto"/>
          <w:sz w:val="22"/>
          <w:szCs w:val="22"/>
        </w:rPr>
      </w:pPr>
    </w:p>
    <w:p w14:paraId="190AF539" w14:textId="1BE2EC9F" w:rsidR="00E07D3B" w:rsidRDefault="00E07D3B" w:rsidP="00E07D3B">
      <w:pPr>
        <w:pStyle w:val="Heading1"/>
        <w:spacing w:before="0" w:line="240" w:lineRule="auto"/>
        <w:rPr>
          <w:rFonts w:asciiTheme="minorHAnsi" w:eastAsiaTheme="minorEastAsia" w:hAnsiTheme="minorHAnsi" w:cstheme="minorBidi"/>
          <w:b w:val="0"/>
          <w:bCs w:val="0"/>
          <w:color w:val="auto"/>
          <w:sz w:val="22"/>
          <w:szCs w:val="22"/>
        </w:rPr>
      </w:pPr>
      <w:hyperlink r:id="rId8" w:history="1">
        <w:r w:rsidRPr="000672F5">
          <w:rPr>
            <w:rStyle w:val="Hyperlink"/>
            <w:rFonts w:asciiTheme="minorHAnsi" w:eastAsiaTheme="minorEastAsia" w:hAnsiTheme="minorHAnsi" w:cstheme="minorBidi"/>
            <w:b w:val="0"/>
            <w:bCs w:val="0"/>
            <w:sz w:val="22"/>
            <w:szCs w:val="22"/>
          </w:rPr>
          <w:t>www.anti-bullyingalliance.org.uk</w:t>
        </w:r>
      </w:hyperlink>
      <w:r w:rsidRPr="00E07D3B">
        <w:rPr>
          <w:rFonts w:asciiTheme="minorHAnsi" w:eastAsiaTheme="minorEastAsia" w:hAnsiTheme="minorHAnsi" w:cstheme="minorBidi"/>
          <w:b w:val="0"/>
          <w:bCs w:val="0"/>
          <w:color w:val="auto"/>
          <w:sz w:val="22"/>
          <w:szCs w:val="22"/>
        </w:rPr>
        <w:t xml:space="preserve"> </w:t>
      </w:r>
    </w:p>
    <w:p w14:paraId="65E513B0" w14:textId="20312952" w:rsidR="00E07D3B" w:rsidRDefault="00E07D3B" w:rsidP="00E07D3B">
      <w:pPr>
        <w:pStyle w:val="Heading1"/>
        <w:spacing w:before="0" w:line="240" w:lineRule="auto"/>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 xml:space="preserve">www.beatbullying.org </w:t>
      </w:r>
    </w:p>
    <w:p w14:paraId="480556ED" w14:textId="1181F3A2" w:rsidR="00E07D3B" w:rsidRDefault="00E07D3B" w:rsidP="00E07D3B">
      <w:pPr>
        <w:pStyle w:val="Heading1"/>
        <w:spacing w:before="0" w:line="240" w:lineRule="auto"/>
        <w:rPr>
          <w:rFonts w:asciiTheme="minorHAnsi" w:eastAsiaTheme="minorEastAsia" w:hAnsiTheme="minorHAnsi" w:cstheme="minorBidi"/>
          <w:b w:val="0"/>
          <w:bCs w:val="0"/>
          <w:color w:val="auto"/>
          <w:sz w:val="22"/>
          <w:szCs w:val="22"/>
        </w:rPr>
      </w:pPr>
      <w:hyperlink r:id="rId9" w:history="1">
        <w:r w:rsidRPr="000672F5">
          <w:rPr>
            <w:rStyle w:val="Hyperlink"/>
            <w:rFonts w:asciiTheme="minorHAnsi" w:eastAsiaTheme="minorEastAsia" w:hAnsiTheme="minorHAnsi" w:cstheme="minorBidi"/>
            <w:b w:val="0"/>
            <w:bCs w:val="0"/>
            <w:sz w:val="22"/>
            <w:szCs w:val="22"/>
          </w:rPr>
          <w:t>www.luckyduck.co.uk</w:t>
        </w:r>
      </w:hyperlink>
      <w:r w:rsidRPr="00E07D3B">
        <w:rPr>
          <w:rFonts w:asciiTheme="minorHAnsi" w:eastAsiaTheme="minorEastAsia" w:hAnsiTheme="minorHAnsi" w:cstheme="minorBidi"/>
          <w:b w:val="0"/>
          <w:bCs w:val="0"/>
          <w:color w:val="auto"/>
          <w:sz w:val="22"/>
          <w:szCs w:val="22"/>
        </w:rPr>
        <w:t xml:space="preserve"> </w:t>
      </w:r>
    </w:p>
    <w:p w14:paraId="6A5F8CA5" w14:textId="148EDEC8" w:rsidR="00C45A47" w:rsidRPr="00E07D3B" w:rsidRDefault="00E07D3B" w:rsidP="00E07D3B">
      <w:pPr>
        <w:pStyle w:val="Heading1"/>
        <w:spacing w:before="0" w:line="240" w:lineRule="auto"/>
        <w:rPr>
          <w:rFonts w:asciiTheme="minorHAnsi" w:eastAsiaTheme="minorEastAsia" w:hAnsiTheme="minorHAnsi" w:cstheme="minorBidi"/>
          <w:b w:val="0"/>
          <w:bCs w:val="0"/>
          <w:color w:val="auto"/>
          <w:sz w:val="22"/>
          <w:szCs w:val="22"/>
        </w:rPr>
      </w:pPr>
      <w:r w:rsidRPr="00E07D3B">
        <w:rPr>
          <w:rFonts w:asciiTheme="minorHAnsi" w:eastAsiaTheme="minorEastAsia" w:hAnsiTheme="minorHAnsi" w:cstheme="minorBidi"/>
          <w:b w:val="0"/>
          <w:bCs w:val="0"/>
          <w:color w:val="auto"/>
          <w:sz w:val="22"/>
          <w:szCs w:val="22"/>
        </w:rPr>
        <w:t xml:space="preserve">www.childline.org.uk-08001111 </w:t>
      </w:r>
    </w:p>
    <w:p w14:paraId="6EA37CD1" w14:textId="77777777" w:rsidR="00C45A47" w:rsidRDefault="008A7F56">
      <w:pPr>
        <w:pStyle w:val="Heading1"/>
      </w:pPr>
      <w:r>
        <w:t>12. Links to Other Policies</w:t>
      </w:r>
    </w:p>
    <w:p w14:paraId="10F846D4" w14:textId="77777777" w:rsidR="00C45A47" w:rsidRDefault="008A7F56">
      <w:r>
        <w:t>Behaviour Policy</w:t>
      </w:r>
    </w:p>
    <w:p w14:paraId="1FC1F1E2" w14:textId="77777777" w:rsidR="00C45A47" w:rsidRDefault="008A7F56">
      <w:r>
        <w:t>Safeguarding and Child Protection Policy</w:t>
      </w:r>
    </w:p>
    <w:p w14:paraId="6E692DC9" w14:textId="77777777" w:rsidR="00C45A47" w:rsidRDefault="008A7F56">
      <w:r>
        <w:t>Curriculum Policy</w:t>
      </w:r>
    </w:p>
    <w:p w14:paraId="540E6B2F" w14:textId="77777777" w:rsidR="00C45A47" w:rsidRDefault="008A7F56">
      <w:pPr>
        <w:pStyle w:val="Heading1"/>
      </w:pPr>
      <w:r>
        <w:t>13. School Behaviour Values: Ready, Respectful, Safe</w:t>
      </w:r>
    </w:p>
    <w:p w14:paraId="4832CAF5" w14:textId="77777777" w:rsidR="00C45A47" w:rsidRDefault="008A7F56">
      <w:r>
        <w:t>Our school values underpin our approach to preventing and responding to bullying:</w:t>
      </w:r>
    </w:p>
    <w:p w14:paraId="5FA0ED85" w14:textId="77777777" w:rsidR="00C45A47" w:rsidRDefault="008A7F56">
      <w:r>
        <w:lastRenderedPageBreak/>
        <w:t>Ready: Students are prepared to engage positively in school life and contribute to a supportive community.</w:t>
      </w:r>
    </w:p>
    <w:p w14:paraId="3BC50353" w14:textId="77777777" w:rsidR="00C45A47" w:rsidRDefault="008A7F56">
      <w:r>
        <w:t>Respectful: All members of the school community are expected to treat others with kindness, empathy and dignity. Bullying contradicts the respectful culture we uphold.</w:t>
      </w:r>
    </w:p>
    <w:p w14:paraId="101D523C" w14:textId="77777777" w:rsidR="00C45A47" w:rsidRDefault="008A7F56">
      <w:r>
        <w:t>Safe: Every student has the right to feel safe. Staff take all concerns seriously, respond promptly and work with students and families to restore safety and wellbeing.</w:t>
      </w:r>
    </w:p>
    <w:p w14:paraId="4FE87B6C" w14:textId="77777777" w:rsidR="00C45A47" w:rsidRDefault="008A7F56">
      <w:r>
        <w:t>These values are reinforced daily through behaviour expectations, assemblies, curriculum content and staff-student relationships.</w:t>
      </w:r>
    </w:p>
    <w:sectPr w:rsidR="00C45A4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6B6CC8"/>
    <w:multiLevelType w:val="hybridMultilevel"/>
    <w:tmpl w:val="049C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E0CFF"/>
    <w:multiLevelType w:val="hybridMultilevel"/>
    <w:tmpl w:val="878C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E0ADA"/>
    <w:multiLevelType w:val="hybridMultilevel"/>
    <w:tmpl w:val="FB7E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B6EA5"/>
    <w:multiLevelType w:val="hybridMultilevel"/>
    <w:tmpl w:val="D8B0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03A67"/>
    <w:multiLevelType w:val="hybridMultilevel"/>
    <w:tmpl w:val="9384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236332">
    <w:abstractNumId w:val="8"/>
  </w:num>
  <w:num w:numId="2" w16cid:durableId="425544694">
    <w:abstractNumId w:val="6"/>
  </w:num>
  <w:num w:numId="3" w16cid:durableId="1889148895">
    <w:abstractNumId w:val="5"/>
  </w:num>
  <w:num w:numId="4" w16cid:durableId="1321152491">
    <w:abstractNumId w:val="4"/>
  </w:num>
  <w:num w:numId="5" w16cid:durableId="254024809">
    <w:abstractNumId w:val="7"/>
  </w:num>
  <w:num w:numId="6" w16cid:durableId="1458182542">
    <w:abstractNumId w:val="3"/>
  </w:num>
  <w:num w:numId="7" w16cid:durableId="1971591615">
    <w:abstractNumId w:val="2"/>
  </w:num>
  <w:num w:numId="8" w16cid:durableId="141506005">
    <w:abstractNumId w:val="1"/>
  </w:num>
  <w:num w:numId="9" w16cid:durableId="467090326">
    <w:abstractNumId w:val="0"/>
  </w:num>
  <w:num w:numId="10" w16cid:durableId="410741762">
    <w:abstractNumId w:val="12"/>
  </w:num>
  <w:num w:numId="11" w16cid:durableId="276109717">
    <w:abstractNumId w:val="11"/>
  </w:num>
  <w:num w:numId="12" w16cid:durableId="1987051636">
    <w:abstractNumId w:val="10"/>
  </w:num>
  <w:num w:numId="13" w16cid:durableId="1933733578">
    <w:abstractNumId w:val="9"/>
  </w:num>
  <w:num w:numId="14" w16cid:durableId="1367556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AB0"/>
    <w:rsid w:val="0015074B"/>
    <w:rsid w:val="0029639D"/>
    <w:rsid w:val="00326F90"/>
    <w:rsid w:val="008A7F56"/>
    <w:rsid w:val="00A97216"/>
    <w:rsid w:val="00AA1D8D"/>
    <w:rsid w:val="00B47730"/>
    <w:rsid w:val="00C45A47"/>
    <w:rsid w:val="00CB0664"/>
    <w:rsid w:val="00E07D3B"/>
    <w:rsid w:val="00E604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F773F"/>
  <w14:defaultImageDpi w14:val="300"/>
  <w15:docId w15:val="{A7537B6A-1951-472F-A02C-E12DFB57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7D3B"/>
    <w:rPr>
      <w:color w:val="0000FF" w:themeColor="hyperlink"/>
      <w:u w:val="single"/>
    </w:rPr>
  </w:style>
  <w:style w:type="character" w:styleId="UnresolvedMention">
    <w:name w:val="Unresolved Mention"/>
    <w:basedOn w:val="DefaultParagraphFont"/>
    <w:uiPriority w:val="99"/>
    <w:semiHidden/>
    <w:unhideWhenUsed/>
    <w:rsid w:val="00E0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bullyingalliance.org.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ckydu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5167</Characters>
  <Application>Microsoft Office Word</Application>
  <DocSecurity>0</DocSecurity>
  <Lines>303</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Blyth (Westleigh Staff)</cp:lastModifiedBy>
  <cp:revision>2</cp:revision>
  <dcterms:created xsi:type="dcterms:W3CDTF">2026-01-12T09:55:00Z</dcterms:created>
  <dcterms:modified xsi:type="dcterms:W3CDTF">2026-01-12T09:55:00Z</dcterms:modified>
  <cp:category/>
</cp:coreProperties>
</file>