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2A7D54B1" w14:textId="34C239AC"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7"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8"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9"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0"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73403A">
        <w:t xml:space="preserve">- Wheelock Primary School </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17F69E2A" w:rsidR="002940F3" w:rsidRDefault="00615D5F" w:rsidP="00C31636">
            <w:pPr>
              <w:pStyle w:val="TableRow"/>
              <w:ind w:left="0" w:right="0"/>
            </w:pPr>
            <w:r>
              <w:t>390</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4C3B56ED" w:rsidR="002940F3" w:rsidRDefault="00DA60E6" w:rsidP="00C31636">
            <w:pPr>
              <w:pStyle w:val="TableRow"/>
              <w:ind w:left="0" w:right="0"/>
            </w:pPr>
            <w:r>
              <w:t>12.8%</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335D7524" w:rsidR="002940F3" w:rsidRDefault="00DA60E6" w:rsidP="00C31636">
            <w:pPr>
              <w:pStyle w:val="TableRow"/>
              <w:ind w:left="0" w:right="0"/>
            </w:pPr>
            <w:r>
              <w:t>2025-2026</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1A6411FB" w:rsidR="002940F3" w:rsidRDefault="00DA60E6" w:rsidP="00C31636">
            <w:pPr>
              <w:pStyle w:val="TableRow"/>
              <w:ind w:left="0" w:right="0"/>
            </w:pPr>
            <w:r>
              <w:t xml:space="preserve">September 2025 </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0BCA99B0" w:rsidR="002940F3" w:rsidRDefault="00DA60E6" w:rsidP="00C31636">
            <w:pPr>
              <w:pStyle w:val="TableRow"/>
              <w:ind w:left="0" w:right="0"/>
            </w:pPr>
            <w:r>
              <w:t xml:space="preserve">September 2026 </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19A4981D" w:rsidR="002940F3" w:rsidRDefault="00DA60E6" w:rsidP="00C31636">
            <w:pPr>
              <w:pStyle w:val="TableRow"/>
              <w:ind w:left="0" w:right="0"/>
            </w:pPr>
            <w:r>
              <w:t xml:space="preserve">Sally Whitehead </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676EE27D" w:rsidR="002940F3" w:rsidRDefault="00DA60E6" w:rsidP="00C31636">
            <w:pPr>
              <w:pStyle w:val="TableRow"/>
              <w:ind w:left="0" w:right="0"/>
            </w:pPr>
            <w:r>
              <w:t xml:space="preserve">Siobhan Watts </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0BCF19E9" w:rsidR="002940F3" w:rsidRDefault="005A0A30" w:rsidP="00C31636">
            <w:pPr>
              <w:pStyle w:val="TableRow"/>
              <w:ind w:left="0" w:right="0"/>
            </w:pPr>
            <w:r>
              <w:t xml:space="preserve">Annie </w:t>
            </w:r>
            <w:proofErr w:type="spellStart"/>
            <w:r>
              <w:t>Proudlove</w:t>
            </w:r>
            <w:proofErr w:type="spellEnd"/>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8" w14:textId="23E8C6B1" w:rsidR="00E66558" w:rsidRDefault="009D71E8" w:rsidP="00C31636">
            <w:pPr>
              <w:pStyle w:val="TableRow"/>
              <w:ind w:left="0" w:right="0"/>
            </w:pPr>
            <w:r>
              <w:t>£</w:t>
            </w:r>
            <w:r w:rsidR="00893CF2">
              <w:t>68,175</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34412C78" w:rsidR="00E66558" w:rsidRDefault="009D71E8" w:rsidP="00C31636">
            <w:pPr>
              <w:pStyle w:val="TableRow"/>
              <w:ind w:left="0" w:right="0"/>
            </w:pPr>
            <w:r>
              <w:t>£</w:t>
            </w:r>
            <w:r w:rsidR="00207DFD">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2" w14:textId="1F7409D1" w:rsidR="00E66558" w:rsidRDefault="009D71E8" w:rsidP="00C31636">
            <w:pPr>
              <w:pStyle w:val="TableRow"/>
              <w:ind w:left="0" w:right="0"/>
            </w:pPr>
            <w:r>
              <w:t>£</w:t>
            </w:r>
            <w:r w:rsidR="00893CF2">
              <w:t>68,175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44839" w14:textId="77777777" w:rsidR="00DA60E6" w:rsidRPr="00893CF2" w:rsidRDefault="00DA60E6" w:rsidP="00DA60E6">
            <w:pPr>
              <w:rPr>
                <w:iCs/>
              </w:rPr>
            </w:pPr>
            <w:r w:rsidRPr="00893CF2">
              <w:rPr>
                <w:iCs/>
              </w:rPr>
              <w:t xml:space="preserve">At Wheelock Primary School, we strive for all of our children to achieve their full potential academically, socially and emotionally. We want all children to develop the necessary skills and confidence to be successful in their time at Wheelock and in their future lives. </w:t>
            </w:r>
          </w:p>
          <w:p w14:paraId="0D8386DB" w14:textId="77777777" w:rsidR="00DA60E6" w:rsidRPr="00893CF2" w:rsidRDefault="00DA60E6" w:rsidP="00DA60E6">
            <w:pPr>
              <w:rPr>
                <w:iCs/>
              </w:rPr>
            </w:pPr>
            <w:r w:rsidRPr="00893CF2">
              <w:rPr>
                <w:iCs/>
              </w:rPr>
              <w:t xml:space="preserve">We aim for all of our children, including those with Pupil Premium allocation, to develop the knowledge, skills, aspirations and academic ability to ensure they reach their potential. </w:t>
            </w:r>
          </w:p>
          <w:p w14:paraId="09D9325D" w14:textId="77777777" w:rsidR="00DA60E6" w:rsidRPr="00893CF2" w:rsidRDefault="00DA60E6" w:rsidP="00DA60E6">
            <w:pPr>
              <w:rPr>
                <w:iCs/>
              </w:rPr>
            </w:pPr>
            <w:r w:rsidRPr="00893CF2">
              <w:rPr>
                <w:iCs/>
              </w:rPr>
              <w:t xml:space="preserve">Children at Wheelock are taught to believe in themselves. </w:t>
            </w:r>
          </w:p>
          <w:p w14:paraId="6C6DD31A" w14:textId="77777777" w:rsidR="00DA60E6" w:rsidRPr="00893CF2" w:rsidRDefault="00DA60E6" w:rsidP="00DA60E6">
            <w:pPr>
              <w:rPr>
                <w:iCs/>
              </w:rPr>
            </w:pPr>
            <w:r w:rsidRPr="00893CF2">
              <w:rPr>
                <w:iCs/>
              </w:rPr>
              <w:t xml:space="preserve">Children at Wheelock understand that they belong to an inclusive community where they are treated fairly. </w:t>
            </w:r>
          </w:p>
          <w:p w14:paraId="4C488AED" w14:textId="77777777" w:rsidR="00DA60E6" w:rsidRPr="00893CF2" w:rsidRDefault="00DA60E6" w:rsidP="00DA60E6">
            <w:pPr>
              <w:rPr>
                <w:iCs/>
              </w:rPr>
            </w:pPr>
            <w:r w:rsidRPr="00893CF2">
              <w:rPr>
                <w:iCs/>
              </w:rPr>
              <w:t xml:space="preserve">Children at Wheelock also understand that being kind is central to everything that we do. </w:t>
            </w:r>
          </w:p>
          <w:p w14:paraId="160670F4" w14:textId="77777777" w:rsidR="00DA60E6" w:rsidRPr="00893CF2" w:rsidRDefault="00DA60E6" w:rsidP="00DA60E6">
            <w:pPr>
              <w:rPr>
                <w:iCs/>
              </w:rPr>
            </w:pPr>
            <w:r w:rsidRPr="00893CF2">
              <w:rPr>
                <w:iCs/>
              </w:rPr>
              <w:t>We aim to:</w:t>
            </w:r>
          </w:p>
          <w:p w14:paraId="102805BA" w14:textId="77777777" w:rsidR="00DA60E6" w:rsidRPr="00893CF2" w:rsidRDefault="00DA60E6" w:rsidP="00DA60E6">
            <w:pPr>
              <w:pStyle w:val="ListParagraph"/>
              <w:numPr>
                <w:ilvl w:val="0"/>
                <w:numId w:val="18"/>
              </w:numPr>
              <w:rPr>
                <w:iCs/>
              </w:rPr>
            </w:pPr>
            <w:r w:rsidRPr="00893CF2">
              <w:rPr>
                <w:iCs/>
              </w:rPr>
              <w:t xml:space="preserve">Ensure all children in receipt of pupil premium funding have sufficient support to successfully access the curriculum. </w:t>
            </w:r>
          </w:p>
          <w:p w14:paraId="6A70762D" w14:textId="0D3164FB" w:rsidR="00DA60E6" w:rsidRPr="00893CF2" w:rsidRDefault="00DA60E6" w:rsidP="00DA60E6">
            <w:pPr>
              <w:pStyle w:val="ListParagraph"/>
              <w:numPr>
                <w:ilvl w:val="0"/>
                <w:numId w:val="18"/>
              </w:numPr>
              <w:rPr>
                <w:iCs/>
              </w:rPr>
            </w:pPr>
            <w:r w:rsidRPr="00893CF2">
              <w:rPr>
                <w:iCs/>
              </w:rPr>
              <w:t xml:space="preserve">Reduce any attainment gaps in reading, writing and maths between children in receipt of pupil premium funding and other children. </w:t>
            </w:r>
          </w:p>
          <w:p w14:paraId="777292BB" w14:textId="77777777" w:rsidR="00DA60E6" w:rsidRPr="00893CF2" w:rsidRDefault="00DA60E6" w:rsidP="00DA60E6">
            <w:pPr>
              <w:pStyle w:val="ListParagraph"/>
              <w:numPr>
                <w:ilvl w:val="0"/>
                <w:numId w:val="18"/>
              </w:numPr>
              <w:rPr>
                <w:iCs/>
              </w:rPr>
            </w:pPr>
            <w:r w:rsidRPr="00893CF2">
              <w:rPr>
                <w:iCs/>
              </w:rPr>
              <w:t xml:space="preserve">Offer a wide range of interventions and support programmes which will allow all pupils to gain specific support for their areas of development. </w:t>
            </w:r>
          </w:p>
          <w:p w14:paraId="01740FD7" w14:textId="77777777" w:rsidR="00DA60E6" w:rsidRPr="00893CF2" w:rsidRDefault="00DA60E6" w:rsidP="00DA60E6">
            <w:pPr>
              <w:pStyle w:val="ListParagraph"/>
              <w:numPr>
                <w:ilvl w:val="0"/>
                <w:numId w:val="18"/>
              </w:numPr>
              <w:rPr>
                <w:iCs/>
              </w:rPr>
            </w:pPr>
            <w:r w:rsidRPr="00893CF2">
              <w:rPr>
                <w:iCs/>
              </w:rPr>
              <w:t xml:space="preserve">Support high levels of attendance and punctuality for children in receipt of pupil premium funding. </w:t>
            </w:r>
          </w:p>
          <w:p w14:paraId="5C9060FA" w14:textId="00E091E5" w:rsidR="00DA60E6" w:rsidRPr="00893CF2" w:rsidRDefault="00DA60E6" w:rsidP="00DA60E6">
            <w:pPr>
              <w:pStyle w:val="ListParagraph"/>
              <w:numPr>
                <w:ilvl w:val="0"/>
                <w:numId w:val="18"/>
              </w:numPr>
              <w:rPr>
                <w:iCs/>
              </w:rPr>
            </w:pPr>
            <w:r w:rsidRPr="00893CF2">
              <w:rPr>
                <w:iCs/>
              </w:rPr>
              <w:t xml:space="preserve">Improve opportunities for children in receipt of pupil premium funding to take part in all wider learning including trips, visits and clubs. </w:t>
            </w:r>
          </w:p>
          <w:p w14:paraId="2A7D54E9" w14:textId="02B07F8D" w:rsidR="00E66558" w:rsidRPr="00DA60E6" w:rsidRDefault="00DA60E6" w:rsidP="00DA60E6">
            <w:pPr>
              <w:pStyle w:val="ListParagraph"/>
              <w:numPr>
                <w:ilvl w:val="0"/>
                <w:numId w:val="18"/>
              </w:numPr>
              <w:rPr>
                <w:iCs/>
                <w:sz w:val="22"/>
              </w:rPr>
            </w:pPr>
            <w:r w:rsidRPr="00893CF2">
              <w:rPr>
                <w:iCs/>
              </w:rPr>
              <w:t>Provide support for the wellbeing of children in receipt of pupil premium funding.</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1" w14:textId="315E68F3" w:rsidR="00E66558" w:rsidRPr="00DA60E6" w:rsidRDefault="00DA60E6" w:rsidP="00C31636">
            <w:pPr>
              <w:pStyle w:val="TableRowCentered"/>
              <w:ind w:left="0" w:right="0"/>
              <w:jc w:val="left"/>
            </w:pPr>
            <w:r>
              <w:t xml:space="preserve">Assessments, observations, and discussions with pupils suggest disadvantaged pupils generally have greater difficulties with reading, comprehension, Maths and Writing </w:t>
            </w:r>
            <w:r w:rsidR="00893CF2">
              <w:t>compared to</w:t>
            </w:r>
            <w:r>
              <w:t xml:space="preserve"> their peers.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4" w14:textId="2683963B" w:rsidR="00E66558" w:rsidRPr="00277ACB" w:rsidRDefault="00277ACB" w:rsidP="00C31636">
            <w:pPr>
              <w:pStyle w:val="TableRowCentered"/>
              <w:ind w:left="0" w:right="0"/>
              <w:jc w:val="left"/>
              <w:rPr>
                <w:szCs w:val="22"/>
              </w:rPr>
            </w:pPr>
            <w:r w:rsidRPr="00277ACB">
              <w:rPr>
                <w:szCs w:val="22"/>
              </w:rPr>
              <w:t>Our well-being surveys and discussions with pupils have identified social and emotional issues for many pupils.</w:t>
            </w:r>
            <w:r w:rsidR="005A0A30">
              <w:rPr>
                <w:szCs w:val="22"/>
              </w:rPr>
              <w:t xml:space="preserve"> </w:t>
            </w:r>
            <w:r w:rsidRPr="00277ACB">
              <w:rPr>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7" w14:textId="097A425C" w:rsidR="00E66558" w:rsidRPr="00DA60E6" w:rsidRDefault="00277ACB" w:rsidP="00C31636">
            <w:pPr>
              <w:pStyle w:val="TableRowCentered"/>
              <w:ind w:left="0" w:right="0"/>
              <w:jc w:val="left"/>
              <w:rPr>
                <w:sz w:val="22"/>
                <w:szCs w:val="22"/>
              </w:rPr>
            </w:pPr>
            <w:r>
              <w:rPr>
                <w:sz w:val="22"/>
                <w:szCs w:val="22"/>
              </w:rPr>
              <w:t>Pupil attendance and punctuality</w:t>
            </w:r>
            <w:r w:rsidR="00893CF2">
              <w:rPr>
                <w:sz w:val="22"/>
                <w:szCs w:val="22"/>
              </w:rPr>
              <w:t xml:space="preserve">. Our data shows that disadvantaged children have lower attendance than other pupils.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A" w14:textId="58138D3A" w:rsidR="00E66558" w:rsidRPr="00DA60E6" w:rsidRDefault="00277ACB" w:rsidP="00C31636">
            <w:pPr>
              <w:pStyle w:val="TableRowCentered"/>
              <w:ind w:left="0" w:right="0"/>
              <w:jc w:val="left"/>
              <w:rPr>
                <w:iCs/>
                <w:sz w:val="22"/>
              </w:rPr>
            </w:pPr>
            <w:r>
              <w:rPr>
                <w:iCs/>
                <w:sz w:val="22"/>
              </w:rPr>
              <w:t xml:space="preserve">The increase of Pupil Premium children who also have additional SEND needs (23/50- 46%) </w:t>
            </w:r>
          </w:p>
        </w:tc>
      </w:tr>
    </w:tbl>
    <w:p w14:paraId="2A7D54FF" w14:textId="77777777" w:rsidR="00E66558" w:rsidRDefault="009D71E8">
      <w:pPr>
        <w:pStyle w:val="Heading2"/>
        <w:spacing w:before="600"/>
      </w:pPr>
      <w:bookmarkStart w:id="17"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0C7BA320" w:rsidR="00E66558" w:rsidRDefault="00207DFD" w:rsidP="00C31636">
            <w:pPr>
              <w:pStyle w:val="TableRow"/>
              <w:ind w:left="0" w:right="0"/>
            </w:pPr>
            <w:r>
              <w:t xml:space="preserve">Improved reading attainment amongst disadvantaged children.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5" w14:textId="2F59F204" w:rsidR="00E66558" w:rsidRDefault="00207DFD" w:rsidP="00C31636">
            <w:pPr>
              <w:pStyle w:val="TableRowCentered"/>
              <w:ind w:left="0" w:right="0"/>
              <w:jc w:val="left"/>
              <w:rPr>
                <w:sz w:val="22"/>
                <w:szCs w:val="22"/>
              </w:rPr>
            </w:pPr>
            <w:r>
              <w:rPr>
                <w:sz w:val="22"/>
                <w:szCs w:val="22"/>
              </w:rPr>
              <w:t xml:space="preserve">KS2 reading outcomes in 2025/2026 show that more than 60% of disadvantaged children meet the expected standard.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7" w14:textId="4FAEC7D8" w:rsidR="00E66558" w:rsidRDefault="00207DFD" w:rsidP="00C31636">
            <w:pPr>
              <w:pStyle w:val="TableRow"/>
              <w:ind w:left="0" w:right="0"/>
              <w:rPr>
                <w:sz w:val="22"/>
                <w:szCs w:val="22"/>
              </w:rPr>
            </w:pPr>
            <w:r>
              <w:rPr>
                <w:sz w:val="22"/>
                <w:szCs w:val="22"/>
              </w:rPr>
              <w:t xml:space="preserve">Improved maths and writing attainment for disadvantaged children at the end of KS2.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8" w14:textId="56780C3F" w:rsidR="00E66558" w:rsidRDefault="00207DFD" w:rsidP="00C31636">
            <w:pPr>
              <w:pStyle w:val="TableRowCentered"/>
              <w:ind w:left="0" w:right="0"/>
              <w:jc w:val="left"/>
              <w:rPr>
                <w:sz w:val="22"/>
                <w:szCs w:val="22"/>
              </w:rPr>
            </w:pPr>
            <w:r>
              <w:rPr>
                <w:sz w:val="22"/>
                <w:szCs w:val="22"/>
              </w:rPr>
              <w:t>KS2 maths and writing outcomes in 2025/2026 show that more than 60%</w:t>
            </w:r>
            <w:r w:rsidR="0007520E">
              <w:rPr>
                <w:sz w:val="22"/>
                <w:szCs w:val="22"/>
              </w:rPr>
              <w:t xml:space="preserve"> </w:t>
            </w:r>
            <w:bookmarkStart w:id="18" w:name="_GoBack"/>
            <w:bookmarkEnd w:id="18"/>
            <w:r>
              <w:rPr>
                <w:sz w:val="22"/>
                <w:szCs w:val="22"/>
              </w:rPr>
              <w:t xml:space="preserve">of disadvantaged pupils meet the expected standard.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A" w14:textId="37107E22" w:rsidR="00E66558" w:rsidRDefault="00207DFD" w:rsidP="00C31636">
            <w:pPr>
              <w:pStyle w:val="TableRow"/>
              <w:ind w:left="0" w:right="0"/>
              <w:rPr>
                <w:sz w:val="22"/>
                <w:szCs w:val="22"/>
              </w:rPr>
            </w:pPr>
            <w:r>
              <w:rPr>
                <w:sz w:val="22"/>
                <w:szCs w:val="22"/>
              </w:rPr>
              <w:t xml:space="preserve">To achieve and sustain improved wellbeing for all pupils in our school, particularly our disadvantaged pupils.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C0D19" w14:textId="77777777" w:rsidR="00E66558" w:rsidRDefault="00207DFD" w:rsidP="00C31636">
            <w:pPr>
              <w:pStyle w:val="TableRowCentered"/>
              <w:ind w:left="0" w:right="0"/>
              <w:jc w:val="left"/>
              <w:rPr>
                <w:sz w:val="22"/>
                <w:szCs w:val="22"/>
              </w:rPr>
            </w:pPr>
            <w:r>
              <w:rPr>
                <w:sz w:val="22"/>
                <w:szCs w:val="22"/>
              </w:rPr>
              <w:t>Sustained high levels of wellbeing by 2025/2026 demonstrated by:</w:t>
            </w:r>
          </w:p>
          <w:p w14:paraId="421575A1" w14:textId="4C4E7C13" w:rsidR="00207DFD" w:rsidRDefault="00207DFD" w:rsidP="00207DFD">
            <w:pPr>
              <w:pStyle w:val="TableRowCentered"/>
              <w:numPr>
                <w:ilvl w:val="0"/>
                <w:numId w:val="19"/>
              </w:numPr>
              <w:ind w:right="0"/>
              <w:jc w:val="left"/>
              <w:rPr>
                <w:sz w:val="22"/>
                <w:szCs w:val="22"/>
              </w:rPr>
            </w:pPr>
            <w:r>
              <w:rPr>
                <w:sz w:val="22"/>
                <w:szCs w:val="22"/>
              </w:rPr>
              <w:t xml:space="preserve">Qualitative data from student voice, student and parent surveys and teacher observations. </w:t>
            </w:r>
          </w:p>
          <w:p w14:paraId="2A7D550B" w14:textId="41FE4852" w:rsidR="00BC34E7" w:rsidRPr="00BC34E7" w:rsidRDefault="00207DFD" w:rsidP="00BC34E7">
            <w:pPr>
              <w:pStyle w:val="TableRowCentered"/>
              <w:numPr>
                <w:ilvl w:val="0"/>
                <w:numId w:val="19"/>
              </w:numPr>
              <w:ind w:right="0"/>
              <w:jc w:val="left"/>
              <w:rPr>
                <w:sz w:val="22"/>
                <w:szCs w:val="22"/>
              </w:rPr>
            </w:pPr>
            <w:r>
              <w:rPr>
                <w:sz w:val="22"/>
                <w:szCs w:val="22"/>
              </w:rPr>
              <w:t xml:space="preserve">A significant increase in participation in enrichment activities, particularly among disadvantaged pupils.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D" w14:textId="0ACA0CBC" w:rsidR="00E66558" w:rsidRDefault="00207DFD" w:rsidP="00C31636">
            <w:pPr>
              <w:pStyle w:val="TableRow"/>
              <w:ind w:left="0" w:right="0"/>
              <w:rPr>
                <w:sz w:val="22"/>
                <w:szCs w:val="22"/>
              </w:rPr>
            </w:pPr>
            <w:r>
              <w:rPr>
                <w:sz w:val="22"/>
                <w:szCs w:val="22"/>
              </w:rPr>
              <w:t xml:space="preserve">To achieve and sustain improved attendance for all pupils, particularly our disadvantaged pupils.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D4CC7" w14:textId="77777777" w:rsidR="00E66558" w:rsidRDefault="00207DFD" w:rsidP="00C31636">
            <w:pPr>
              <w:pStyle w:val="TableRowCentered"/>
              <w:ind w:left="0" w:right="0"/>
              <w:jc w:val="left"/>
              <w:rPr>
                <w:sz w:val="22"/>
                <w:szCs w:val="22"/>
              </w:rPr>
            </w:pPr>
            <w:r>
              <w:rPr>
                <w:sz w:val="22"/>
                <w:szCs w:val="22"/>
              </w:rPr>
              <w:t>Sustain high attendance by 2025/2026 demonstrated by:</w:t>
            </w:r>
          </w:p>
          <w:p w14:paraId="6BBBB485" w14:textId="77777777" w:rsidR="00207DFD" w:rsidRDefault="00207DFD" w:rsidP="00207DFD">
            <w:pPr>
              <w:pStyle w:val="TableRowCentered"/>
              <w:numPr>
                <w:ilvl w:val="0"/>
                <w:numId w:val="20"/>
              </w:numPr>
              <w:ind w:right="0"/>
              <w:jc w:val="left"/>
              <w:rPr>
                <w:sz w:val="22"/>
                <w:szCs w:val="22"/>
              </w:rPr>
            </w:pPr>
            <w:r>
              <w:rPr>
                <w:sz w:val="22"/>
                <w:szCs w:val="22"/>
              </w:rPr>
              <w:t xml:space="preserve">The overall unauthorised absence rate for all pupils reduced and the attendance gap between disadvantaged pupils and their non-disadvantaged counterparts being reduced. </w:t>
            </w:r>
          </w:p>
          <w:p w14:paraId="2A7D550E" w14:textId="7F4863B1" w:rsidR="00207DFD" w:rsidRDefault="00207DFD" w:rsidP="00207DFD">
            <w:pPr>
              <w:pStyle w:val="TableRowCentered"/>
              <w:numPr>
                <w:ilvl w:val="0"/>
                <w:numId w:val="20"/>
              </w:numPr>
              <w:ind w:right="0"/>
              <w:jc w:val="left"/>
              <w:rPr>
                <w:sz w:val="22"/>
                <w:szCs w:val="22"/>
              </w:rPr>
            </w:pPr>
            <w:r>
              <w:rPr>
                <w:sz w:val="22"/>
                <w:szCs w:val="22"/>
              </w:rPr>
              <w:t xml:space="preserve">The percentage of all pupils who are persistently absent being reduced significantly and the figure among disadvantaged pupils being reduced between that of their peers. </w:t>
            </w:r>
          </w:p>
        </w:tc>
      </w:tr>
      <w:tr w:rsidR="00BC34E7" w14:paraId="02102EC1"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EAAD" w14:textId="606FE4F0" w:rsidR="00BC34E7" w:rsidRDefault="00BC34E7" w:rsidP="00C31636">
            <w:pPr>
              <w:pStyle w:val="TableRow"/>
              <w:ind w:left="0" w:right="0"/>
              <w:rPr>
                <w:sz w:val="22"/>
                <w:szCs w:val="22"/>
              </w:rPr>
            </w:pPr>
            <w:r>
              <w:rPr>
                <w:sz w:val="22"/>
                <w:szCs w:val="22"/>
              </w:rPr>
              <w:t xml:space="preserve">For children with PP to successfully access the curriculum by gaining the support they need particularly those with SEND.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6EE59" w14:textId="77777777" w:rsidR="00BC34E7" w:rsidRDefault="00BC34E7" w:rsidP="00BC34E7">
            <w:pPr>
              <w:pStyle w:val="TableRowCentered"/>
              <w:numPr>
                <w:ilvl w:val="0"/>
                <w:numId w:val="21"/>
              </w:numPr>
              <w:ind w:right="0"/>
              <w:jc w:val="left"/>
              <w:rPr>
                <w:sz w:val="22"/>
                <w:szCs w:val="22"/>
              </w:rPr>
            </w:pPr>
            <w:r>
              <w:rPr>
                <w:sz w:val="22"/>
                <w:szCs w:val="22"/>
              </w:rPr>
              <w:t xml:space="preserve">Children are able to access lessons for longer periods of time without leaving due to sustained and improved support. </w:t>
            </w:r>
          </w:p>
          <w:p w14:paraId="0B277A16" w14:textId="77777777" w:rsidR="00BC34E7" w:rsidRDefault="00BC34E7" w:rsidP="00BC34E7">
            <w:pPr>
              <w:pStyle w:val="TableRowCentered"/>
              <w:numPr>
                <w:ilvl w:val="0"/>
                <w:numId w:val="21"/>
              </w:numPr>
              <w:ind w:right="0"/>
              <w:jc w:val="left"/>
              <w:rPr>
                <w:sz w:val="22"/>
                <w:szCs w:val="22"/>
              </w:rPr>
            </w:pPr>
            <w:r>
              <w:rPr>
                <w:sz w:val="22"/>
                <w:szCs w:val="22"/>
              </w:rPr>
              <w:lastRenderedPageBreak/>
              <w:t xml:space="preserve">Adaptive strategies are implemented and consistent across all classes to ensure children with SEND needs are supported. </w:t>
            </w:r>
          </w:p>
          <w:p w14:paraId="5AAEE190" w14:textId="2CBFF76B" w:rsidR="00BC34E7" w:rsidRDefault="00BC34E7" w:rsidP="00BC34E7">
            <w:pPr>
              <w:pStyle w:val="TableRowCentered"/>
              <w:numPr>
                <w:ilvl w:val="0"/>
                <w:numId w:val="21"/>
              </w:numPr>
              <w:ind w:right="0"/>
              <w:jc w:val="left"/>
              <w:rPr>
                <w:sz w:val="22"/>
                <w:szCs w:val="22"/>
              </w:rPr>
            </w:pPr>
            <w:r>
              <w:rPr>
                <w:sz w:val="22"/>
                <w:szCs w:val="22"/>
              </w:rPr>
              <w:t xml:space="preserve">Children are identified early using the monitoring pathway and receive extra support where needed. </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13C409E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9014F7E" w:rsidR="00E66558" w:rsidRDefault="009D71E8">
      <w:r>
        <w:t xml:space="preserve">Budgeted cost: £ </w:t>
      </w:r>
      <w:r w:rsidR="0020395C">
        <w:t>25</w:t>
      </w:r>
      <w:r w:rsidR="00FE115D">
        <w:t>,000</w:t>
      </w:r>
    </w:p>
    <w:tbl>
      <w:tblPr>
        <w:tblW w:w="5077" w:type="pct"/>
        <w:tblInd w:w="-147" w:type="dxa"/>
        <w:tblCellMar>
          <w:left w:w="10" w:type="dxa"/>
          <w:right w:w="10" w:type="dxa"/>
        </w:tblCellMar>
        <w:tblLook w:val="04A0" w:firstRow="1" w:lastRow="0" w:firstColumn="1" w:lastColumn="0" w:noHBand="0" w:noVBand="1"/>
      </w:tblPr>
      <w:tblGrid>
        <w:gridCol w:w="2834"/>
        <w:gridCol w:w="4254"/>
        <w:gridCol w:w="2544"/>
      </w:tblGrid>
      <w:tr w:rsidR="00E66558" w14:paraId="2A7D5519" w14:textId="77777777" w:rsidTr="00893CF2">
        <w:tc>
          <w:tcPr>
            <w:tcW w:w="283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00893CF2">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A" w14:textId="79B4A4B4" w:rsidR="00E66558" w:rsidRDefault="00893CF2" w:rsidP="00C31636">
            <w:pPr>
              <w:pStyle w:val="TableRow"/>
              <w:ind w:left="0" w:right="0"/>
            </w:pPr>
            <w:r w:rsidRPr="00893CF2">
              <w:rPr>
                <w:sz w:val="22"/>
              </w:rPr>
              <w:t xml:space="preserve">Professional development to support implementation of approaches-Read, Write Inc training provided for new staff to support early reading.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D76B8" w14:textId="77777777" w:rsidR="00893CF2" w:rsidRDefault="00893CF2" w:rsidP="00893CF2">
            <w:pPr>
              <w:pStyle w:val="TableRowCentered"/>
              <w:jc w:val="left"/>
              <w:rPr>
                <w:sz w:val="22"/>
              </w:rPr>
            </w:pPr>
            <w:r>
              <w:rPr>
                <w:sz w:val="22"/>
              </w:rPr>
              <w:t xml:space="preserve">Phonics approaches have a strong evidence base that indicates a positive impact on the accuracy of word reading, particularly for disadvantages pupils. </w:t>
            </w:r>
          </w:p>
          <w:p w14:paraId="38106535" w14:textId="393DC8AC" w:rsidR="00893CF2" w:rsidRDefault="00893CF2" w:rsidP="00893CF2">
            <w:pPr>
              <w:pStyle w:val="TableRowCentered"/>
              <w:jc w:val="left"/>
              <w:rPr>
                <w:sz w:val="22"/>
              </w:rPr>
            </w:pPr>
            <w:r>
              <w:rPr>
                <w:sz w:val="22"/>
              </w:rPr>
              <w:t xml:space="preserve">RWI has been implemented at Wheelock for the past 3 years. Last year we </w:t>
            </w:r>
            <w:r w:rsidR="00EE13FF">
              <w:rPr>
                <w:sz w:val="22"/>
              </w:rPr>
              <w:t xml:space="preserve">achieved 97% pass rate. </w:t>
            </w:r>
          </w:p>
          <w:p w14:paraId="2A7D551B" w14:textId="68077F8A" w:rsidR="00E66558" w:rsidRDefault="0007520E" w:rsidP="00893CF2">
            <w:pPr>
              <w:pStyle w:val="TableRowCentered"/>
              <w:ind w:left="0" w:right="0"/>
              <w:jc w:val="left"/>
              <w:rPr>
                <w:sz w:val="22"/>
              </w:rPr>
            </w:pPr>
            <w:hyperlink r:id="rId11" w:history="1">
              <w:r w:rsidR="00893CF2" w:rsidRPr="00EE0047">
                <w:rPr>
                  <w:rStyle w:val="Hyperlink"/>
                  <w:sz w:val="22"/>
                </w:rPr>
                <w:t>Phonics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C" w14:textId="12483811" w:rsidR="00E66558" w:rsidRDefault="00EE13FF" w:rsidP="00C31636">
            <w:pPr>
              <w:pStyle w:val="TableRowCentered"/>
              <w:ind w:left="0" w:right="0"/>
              <w:jc w:val="left"/>
              <w:rPr>
                <w:sz w:val="22"/>
              </w:rPr>
            </w:pPr>
            <w:r>
              <w:rPr>
                <w:sz w:val="22"/>
              </w:rPr>
              <w:t>1</w:t>
            </w:r>
          </w:p>
        </w:tc>
      </w:tr>
      <w:tr w:rsidR="00E66558" w14:paraId="2A7D5521" w14:textId="77777777" w:rsidTr="00893CF2">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E" w14:textId="3B45516B" w:rsidR="00E66558" w:rsidRPr="00EE13FF" w:rsidRDefault="00EE13FF" w:rsidP="00C31636">
            <w:pPr>
              <w:pStyle w:val="TableRow"/>
              <w:ind w:left="0" w:right="0"/>
              <w:rPr>
                <w:sz w:val="22"/>
              </w:rPr>
            </w:pPr>
            <w:r w:rsidRPr="00EE13FF">
              <w:rPr>
                <w:sz w:val="22"/>
              </w:rPr>
              <w:t xml:space="preserve">Supporting the recruitment and </w:t>
            </w:r>
            <w:r>
              <w:rPr>
                <w:sz w:val="22"/>
              </w:rPr>
              <w:t xml:space="preserve">retention of teaching staff by providing cover time to undertake professional development- this year we have a number of </w:t>
            </w:r>
            <w:proofErr w:type="gramStart"/>
            <w:r>
              <w:rPr>
                <w:sz w:val="22"/>
              </w:rPr>
              <w:t>staff</w:t>
            </w:r>
            <w:proofErr w:type="gramEnd"/>
            <w:r>
              <w:rPr>
                <w:sz w:val="22"/>
              </w:rPr>
              <w:t xml:space="preserve"> undertaking their NPQH, NPQSL, NPQEY and a Masters.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40272" w14:textId="4E2F66E0" w:rsidR="00E66558" w:rsidRDefault="00EE13FF" w:rsidP="00C31636">
            <w:pPr>
              <w:pStyle w:val="TableRowCentered"/>
              <w:ind w:left="0" w:right="0"/>
              <w:jc w:val="left"/>
              <w:rPr>
                <w:sz w:val="22"/>
              </w:rPr>
            </w:pPr>
            <w:r>
              <w:rPr>
                <w:sz w:val="22"/>
              </w:rPr>
              <w:t xml:space="preserve">Having a strong offer for staff development allows staff to have improved teaching and learning skills, develop leadership skills, improve assessment and monitoring and thus improve pupil attainment. </w:t>
            </w:r>
          </w:p>
          <w:p w14:paraId="0B8A6DE7" w14:textId="032B374C" w:rsidR="00EE13FF" w:rsidRDefault="0007520E" w:rsidP="00C31636">
            <w:pPr>
              <w:pStyle w:val="TableRowCentered"/>
              <w:ind w:left="0" w:right="0"/>
              <w:jc w:val="left"/>
              <w:rPr>
                <w:sz w:val="22"/>
              </w:rPr>
            </w:pPr>
            <w:hyperlink r:id="rId12" w:history="1">
              <w:r w:rsidR="00EE13FF">
                <w:rPr>
                  <w:rStyle w:val="Hyperlink"/>
                </w:rPr>
                <w:t>Emerging findings from the NPQ evaluation: Interim report 2</w:t>
              </w:r>
            </w:hyperlink>
          </w:p>
          <w:p w14:paraId="2A7D551F" w14:textId="3FABA7BF" w:rsidR="00EE13FF" w:rsidRDefault="00EE13FF"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0" w14:textId="374F2FEA" w:rsidR="00E66558" w:rsidRDefault="00EE13FF" w:rsidP="00C31636">
            <w:pPr>
              <w:pStyle w:val="TableRowCentered"/>
              <w:ind w:left="0" w:right="0"/>
              <w:jc w:val="left"/>
              <w:rPr>
                <w:sz w:val="22"/>
              </w:rPr>
            </w:pPr>
            <w:r>
              <w:rPr>
                <w:sz w:val="22"/>
              </w:rPr>
              <w:t>1</w:t>
            </w:r>
          </w:p>
        </w:tc>
      </w:tr>
      <w:tr w:rsidR="00EE13FF" w14:paraId="7ACA4389" w14:textId="77777777" w:rsidTr="00893CF2">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2D357" w14:textId="77777777" w:rsidR="00EE13FF" w:rsidRDefault="00EE13FF" w:rsidP="00C31636">
            <w:pPr>
              <w:pStyle w:val="TableRow"/>
              <w:ind w:left="0" w:right="0"/>
              <w:rPr>
                <w:sz w:val="22"/>
              </w:rPr>
            </w:pPr>
            <w:r>
              <w:rPr>
                <w:sz w:val="22"/>
              </w:rPr>
              <w:t xml:space="preserve">1:1 and small group tuition to support children in all three core subjects. </w:t>
            </w:r>
          </w:p>
          <w:p w14:paraId="3DCA557C" w14:textId="35C133C0" w:rsidR="00EE13FF" w:rsidRPr="00EE13FF" w:rsidRDefault="00EE13FF" w:rsidP="00C31636">
            <w:pPr>
              <w:pStyle w:val="TableRow"/>
              <w:ind w:left="0" w:right="0"/>
              <w:rPr>
                <w:sz w:val="22"/>
              </w:rPr>
            </w:pPr>
            <w:r>
              <w:rPr>
                <w:sz w:val="22"/>
              </w:rPr>
              <w:t xml:space="preserve">Teaching assistant deployment and interventions are tracked to support high-quality provision within the classroom </w:t>
            </w:r>
            <w:r w:rsidR="00FE115D">
              <w:rPr>
                <w:sz w:val="22"/>
              </w:rPr>
              <w:t xml:space="preserve">and outside of the classroom.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188F7" w14:textId="77777777" w:rsidR="00EE13FF" w:rsidRDefault="00FE115D" w:rsidP="00C31636">
            <w:pPr>
              <w:pStyle w:val="TableRowCentered"/>
              <w:ind w:left="0" w:right="0"/>
              <w:jc w:val="left"/>
              <w:rPr>
                <w:sz w:val="22"/>
              </w:rPr>
            </w:pPr>
            <w:r>
              <w:rPr>
                <w:sz w:val="22"/>
              </w:rPr>
              <w:t xml:space="preserve">Evidence based interventions for writing have been implemented across the school using the RWI Get Writing Scheme. Trained TAs have time to deliver these high-quality interventions to support progress in writing. </w:t>
            </w:r>
          </w:p>
          <w:p w14:paraId="163E4600" w14:textId="3111E013" w:rsidR="00FE115D" w:rsidRDefault="0007520E" w:rsidP="00C31636">
            <w:pPr>
              <w:pStyle w:val="TableRowCentered"/>
              <w:ind w:left="0" w:right="0"/>
              <w:jc w:val="left"/>
              <w:rPr>
                <w:sz w:val="22"/>
              </w:rPr>
            </w:pPr>
            <w:hyperlink r:id="rId13" w:history="1">
              <w:r w:rsidR="00FE115D">
                <w:rPr>
                  <w:rStyle w:val="Hyperlink"/>
                </w:rPr>
                <w:t>Selecting interventions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01A35" w14:textId="3C482A5B" w:rsidR="00EE13FF" w:rsidRDefault="00FE115D" w:rsidP="00C31636">
            <w:pPr>
              <w:pStyle w:val="TableRowCentered"/>
              <w:ind w:left="0" w:right="0"/>
              <w:jc w:val="left"/>
              <w:rPr>
                <w:sz w:val="22"/>
              </w:rPr>
            </w:pPr>
            <w:r>
              <w:rPr>
                <w:sz w:val="22"/>
              </w:rPr>
              <w:t>1,4</w:t>
            </w:r>
          </w:p>
        </w:tc>
      </w:tr>
      <w:tr w:rsidR="00FE115D" w14:paraId="2332D5F4" w14:textId="77777777" w:rsidTr="00893CF2">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916A6" w14:textId="280A74B9" w:rsidR="00FE115D" w:rsidRDefault="00FE115D" w:rsidP="00C31636">
            <w:pPr>
              <w:pStyle w:val="TableRow"/>
              <w:ind w:left="0" w:right="0"/>
              <w:rPr>
                <w:sz w:val="22"/>
              </w:rPr>
            </w:pPr>
            <w:r>
              <w:rPr>
                <w:sz w:val="22"/>
              </w:rPr>
              <w:lastRenderedPageBreak/>
              <w:t xml:space="preserve">After school boosters- children are invited to after school boosters to focus on the three core areas of the curriculum.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ADC40" w14:textId="77777777" w:rsidR="00FE115D" w:rsidRDefault="00FE115D" w:rsidP="00C31636">
            <w:pPr>
              <w:pStyle w:val="TableRowCentered"/>
              <w:ind w:left="0" w:right="0"/>
              <w:jc w:val="left"/>
              <w:rPr>
                <w:sz w:val="22"/>
              </w:rPr>
            </w:pPr>
            <w:r>
              <w:rPr>
                <w:sz w:val="22"/>
              </w:rPr>
              <w:t xml:space="preserve">Children in Year 6, with a focus on PP children who are falling below the expected standard and invited to booster sessions after school to bridge the gaps in their learning so that they are fully prepared for the next step in their education. </w:t>
            </w:r>
          </w:p>
          <w:p w14:paraId="517693CE" w14:textId="11E9CD3A" w:rsidR="00FE115D" w:rsidRDefault="0007520E" w:rsidP="00C31636">
            <w:pPr>
              <w:pStyle w:val="TableRowCentered"/>
              <w:ind w:left="0" w:right="0"/>
              <w:jc w:val="left"/>
              <w:rPr>
                <w:sz w:val="22"/>
              </w:rPr>
            </w:pPr>
            <w:hyperlink r:id="rId14" w:history="1">
              <w:r w:rsidR="00FE115D">
                <w:rPr>
                  <w:rStyle w:val="Hyperlink"/>
                </w:rPr>
                <w:t>Extending school time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113D6" w14:textId="153C1B6B" w:rsidR="00FE115D" w:rsidRDefault="00FE115D" w:rsidP="00C31636">
            <w:pPr>
              <w:pStyle w:val="TableRowCentered"/>
              <w:ind w:left="0" w:right="0"/>
              <w:jc w:val="left"/>
              <w:rPr>
                <w:sz w:val="22"/>
              </w:rPr>
            </w:pPr>
            <w:r>
              <w:rPr>
                <w:sz w:val="22"/>
              </w:rPr>
              <w:t>1,4</w:t>
            </w:r>
          </w:p>
        </w:tc>
      </w:tr>
      <w:tr w:rsidR="00FE115D" w14:paraId="1E7AEECE" w14:textId="77777777" w:rsidTr="00893CF2">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307CC" w14:textId="1E74055B" w:rsidR="00FE115D" w:rsidRDefault="00FE115D" w:rsidP="00C31636">
            <w:pPr>
              <w:pStyle w:val="TableRow"/>
              <w:ind w:left="0" w:right="0"/>
              <w:rPr>
                <w:sz w:val="22"/>
              </w:rPr>
            </w:pPr>
            <w:r>
              <w:rPr>
                <w:sz w:val="22"/>
              </w:rPr>
              <w:t>CPD for new members of staff on the mental health and wellbeing pathway at Wheelock (Treetops)</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DCF94" w14:textId="77777777" w:rsidR="00FE115D" w:rsidRDefault="00FE115D" w:rsidP="00FE115D">
            <w:pPr>
              <w:pStyle w:val="TableRowCentered"/>
              <w:ind w:left="0"/>
              <w:jc w:val="left"/>
              <w:rPr>
                <w:sz w:val="22"/>
              </w:rPr>
            </w:pPr>
            <w:r>
              <w:rPr>
                <w:sz w:val="22"/>
              </w:rPr>
              <w:t xml:space="preserve">Progressively planned 6-week units to support children with their mental health and wellbeing. </w:t>
            </w:r>
          </w:p>
          <w:p w14:paraId="4DC13489" w14:textId="0847DF15" w:rsidR="00FE115D" w:rsidRDefault="00FE115D" w:rsidP="00FE115D">
            <w:pPr>
              <w:pStyle w:val="TableRowCentered"/>
              <w:ind w:left="0"/>
              <w:jc w:val="left"/>
              <w:rPr>
                <w:sz w:val="22"/>
              </w:rPr>
            </w:pPr>
            <w:r>
              <w:rPr>
                <w:sz w:val="22"/>
              </w:rPr>
              <w:t>Approved by OFSTED</w:t>
            </w:r>
          </w:p>
          <w:p w14:paraId="4845E4DF" w14:textId="6C314E50" w:rsidR="00FE115D" w:rsidRDefault="00FE115D" w:rsidP="00FE115D">
            <w:pPr>
              <w:pStyle w:val="TableRowCentered"/>
              <w:ind w:left="0"/>
              <w:jc w:val="left"/>
              <w:rPr>
                <w:sz w:val="22"/>
              </w:rPr>
            </w:pPr>
            <w:r>
              <w:rPr>
                <w:sz w:val="22"/>
              </w:rPr>
              <w:t xml:space="preserve">In-school Inset day planned for new staff to equip them with the knowledge they need to support children with their mental health. </w:t>
            </w:r>
          </w:p>
          <w:p w14:paraId="08094876" w14:textId="77777777" w:rsidR="00FE115D" w:rsidRDefault="0007520E" w:rsidP="00FE115D">
            <w:pPr>
              <w:pStyle w:val="TableRowCentered"/>
              <w:ind w:left="0"/>
              <w:jc w:val="left"/>
              <w:rPr>
                <w:sz w:val="22"/>
              </w:rPr>
            </w:pPr>
            <w:hyperlink r:id="rId15" w:history="1">
              <w:r w:rsidR="00FE115D" w:rsidRPr="00EE0047">
                <w:rPr>
                  <w:rStyle w:val="Hyperlink"/>
                  <w:sz w:val="22"/>
                </w:rPr>
                <w:t>UK Trauma Council</w:t>
              </w:r>
            </w:hyperlink>
          </w:p>
          <w:p w14:paraId="145EEEA2" w14:textId="672D7E6D" w:rsidR="00FE115D" w:rsidRDefault="0007520E" w:rsidP="00FE115D">
            <w:pPr>
              <w:pStyle w:val="TableRowCentered"/>
              <w:ind w:left="0" w:right="0"/>
              <w:jc w:val="left"/>
              <w:rPr>
                <w:sz w:val="22"/>
              </w:rPr>
            </w:pPr>
            <w:hyperlink r:id="rId16" w:history="1">
              <w:proofErr w:type="spellStart"/>
              <w:r w:rsidR="00FE115D" w:rsidRPr="00EE0047">
                <w:rPr>
                  <w:rStyle w:val="Hyperlink"/>
                  <w:sz w:val="22"/>
                </w:rPr>
                <w:t>Visyon</w:t>
              </w:r>
              <w:proofErr w:type="spellEnd"/>
              <w:r w:rsidR="00FE115D" w:rsidRPr="00EE0047">
                <w:rPr>
                  <w:rStyle w:val="Hyperlink"/>
                  <w:sz w:val="22"/>
                </w:rPr>
                <w:t xml:space="preserve"> | Empowering Young People</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5884F" w14:textId="49DAB21E" w:rsidR="00FE115D" w:rsidRDefault="00FE115D" w:rsidP="00C31636">
            <w:pPr>
              <w:pStyle w:val="TableRowCentered"/>
              <w:ind w:left="0" w:right="0"/>
              <w:jc w:val="left"/>
              <w:rPr>
                <w:sz w:val="22"/>
              </w:rPr>
            </w:pPr>
            <w:r>
              <w:rPr>
                <w:sz w:val="22"/>
              </w:rPr>
              <w:t>1,2</w:t>
            </w:r>
          </w:p>
        </w:tc>
      </w:tr>
      <w:tr w:rsidR="001D2530" w14:paraId="7DD34F74" w14:textId="77777777" w:rsidTr="00893CF2">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516AF" w14:textId="77777777" w:rsidR="001D2530" w:rsidRDefault="001D2530" w:rsidP="00C31636">
            <w:pPr>
              <w:pStyle w:val="TableRow"/>
              <w:ind w:left="0" w:right="0"/>
              <w:rPr>
                <w:sz w:val="22"/>
              </w:rPr>
            </w:pPr>
            <w:r>
              <w:rPr>
                <w:sz w:val="22"/>
              </w:rPr>
              <w:t xml:space="preserve">Purchase of standardised diagnostic assessments. </w:t>
            </w:r>
          </w:p>
          <w:p w14:paraId="7EEA0775" w14:textId="77777777" w:rsidR="001D2530" w:rsidRDefault="001D2530" w:rsidP="00C31636">
            <w:pPr>
              <w:pStyle w:val="TableRow"/>
              <w:ind w:left="0" w:right="0"/>
              <w:rPr>
                <w:sz w:val="22"/>
              </w:rPr>
            </w:pPr>
          </w:p>
          <w:p w14:paraId="6005280F" w14:textId="77777777" w:rsidR="001D2530" w:rsidRDefault="001D2530" w:rsidP="00C31636">
            <w:pPr>
              <w:pStyle w:val="TableRow"/>
              <w:ind w:left="0" w:right="0"/>
              <w:rPr>
                <w:sz w:val="22"/>
              </w:rPr>
            </w:pPr>
            <w:r>
              <w:rPr>
                <w:sz w:val="22"/>
              </w:rPr>
              <w:t>NFERs from Years 1-6</w:t>
            </w:r>
          </w:p>
          <w:p w14:paraId="7CBB2D39" w14:textId="5B4298D5" w:rsidR="001D2530" w:rsidRDefault="001D2530" w:rsidP="00C31636">
            <w:pPr>
              <w:pStyle w:val="TableRow"/>
              <w:ind w:left="0" w:right="0"/>
              <w:rPr>
                <w:sz w:val="22"/>
              </w:rPr>
            </w:pPr>
            <w:r>
              <w:rPr>
                <w:sz w:val="22"/>
              </w:rPr>
              <w:t xml:space="preserve">Training for staff to ensure that assessments are interpreted and administered correctly.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3EF2A" w14:textId="77777777" w:rsidR="001D2530" w:rsidRDefault="001D2530" w:rsidP="00FE115D">
            <w:pPr>
              <w:pStyle w:val="TableRowCentered"/>
              <w:ind w:left="0"/>
              <w:jc w:val="left"/>
              <w:rPr>
                <w:color w:val="000000"/>
                <w:sz w:val="22"/>
                <w:szCs w:val="27"/>
              </w:rPr>
            </w:pPr>
            <w:r w:rsidRPr="001D2530">
              <w:rPr>
                <w:color w:val="000000"/>
                <w:sz w:val="22"/>
                <w:szCs w:val="27"/>
              </w:rPr>
              <w:t xml:space="preserve">When used effectively, diagnostic assessments can indicate areas for development for individual pupils, or across classes and year groups: </w:t>
            </w:r>
          </w:p>
          <w:p w14:paraId="1C2BF050" w14:textId="77777777" w:rsidR="001D2530" w:rsidRDefault="001D2530" w:rsidP="00FE115D">
            <w:pPr>
              <w:pStyle w:val="TableRowCentered"/>
              <w:ind w:left="0"/>
              <w:jc w:val="left"/>
              <w:rPr>
                <w:color w:val="000000"/>
                <w:sz w:val="22"/>
                <w:szCs w:val="27"/>
              </w:rPr>
            </w:pPr>
          </w:p>
          <w:p w14:paraId="33C2E2C9" w14:textId="369F42EE" w:rsidR="001D2530" w:rsidRDefault="0007520E" w:rsidP="001D2530">
            <w:pPr>
              <w:pStyle w:val="TableRowCentered"/>
              <w:ind w:left="0"/>
              <w:jc w:val="left"/>
              <w:rPr>
                <w:sz w:val="22"/>
              </w:rPr>
            </w:pPr>
            <w:hyperlink r:id="rId17" w:history="1">
              <w:r w:rsidR="001D2530">
                <w:rPr>
                  <w:rStyle w:val="Hyperlink"/>
                </w:rPr>
                <w:t>EEF Blog: New case studies - Making effective use of diagnostic…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31541" w14:textId="3DA830FA" w:rsidR="001D2530" w:rsidRDefault="001D2530" w:rsidP="00C31636">
            <w:pPr>
              <w:pStyle w:val="TableRowCentered"/>
              <w:ind w:left="0" w:right="0"/>
              <w:jc w:val="left"/>
              <w:rPr>
                <w:sz w:val="22"/>
              </w:rPr>
            </w:pPr>
            <w:r>
              <w:rPr>
                <w:sz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6D9086BA" w:rsidR="00E66558" w:rsidRDefault="009D71E8">
      <w:r>
        <w:t xml:space="preserve">Budgeted cost: £ </w:t>
      </w:r>
      <w:r w:rsidR="0020395C">
        <w:rPr>
          <w:i/>
          <w:iCs/>
        </w:rPr>
        <w:t>23</w:t>
      </w:r>
      <w:r w:rsidR="0046167A">
        <w:rPr>
          <w:i/>
          <w:iCs/>
        </w:rPr>
        <w:t>,</w:t>
      </w:r>
      <w:r w:rsidR="0020395C">
        <w:rPr>
          <w:i/>
          <w:iCs/>
        </w:rPr>
        <w:t>175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9" w14:textId="013F5480" w:rsidR="00E66558" w:rsidRDefault="001D2530" w:rsidP="001D2530">
            <w:pPr>
              <w:pStyle w:val="TableRow"/>
              <w:numPr>
                <w:ilvl w:val="0"/>
                <w:numId w:val="1"/>
              </w:numPr>
            </w:pPr>
            <w:r>
              <w:rPr>
                <w:sz w:val="22"/>
                <w:szCs w:val="22"/>
              </w:rPr>
              <w:t xml:space="preserve">Purchase of programme to improve language skills for all pupils including those who are disadvantaged and have relatively weak spoken language skills- </w:t>
            </w:r>
            <w:proofErr w:type="spellStart"/>
            <w:r>
              <w:rPr>
                <w:sz w:val="22"/>
                <w:szCs w:val="22"/>
              </w:rPr>
              <w:t>Wellcomm</w:t>
            </w:r>
            <w:proofErr w:type="spellEnd"/>
            <w:r>
              <w:rPr>
                <w:sz w:val="22"/>
                <w:szCs w:val="22"/>
              </w:rPr>
              <w:t xml:space="preserve"> and S&amp;L support.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EEB15" w14:textId="0BDFB9B3" w:rsidR="001D2530" w:rsidRDefault="00FE115D" w:rsidP="00C31636">
            <w:pPr>
              <w:pStyle w:val="TableRowCentered"/>
              <w:ind w:left="0" w:right="0"/>
              <w:jc w:val="left"/>
              <w:rPr>
                <w:sz w:val="22"/>
              </w:rPr>
            </w:pPr>
            <w:r w:rsidRPr="00EE0047">
              <w:rPr>
                <w:sz w:val="22"/>
              </w:rPr>
              <w:t xml:space="preserve">Delayed language skills lead to under-performance later in life. </w:t>
            </w:r>
            <w:proofErr w:type="spellStart"/>
            <w:r w:rsidRPr="00EE0047">
              <w:rPr>
                <w:sz w:val="22"/>
              </w:rPr>
              <w:t>WellComm</w:t>
            </w:r>
            <w:proofErr w:type="spellEnd"/>
            <w:r w:rsidRPr="00EE0047">
              <w:rPr>
                <w:sz w:val="22"/>
              </w:rPr>
              <w:t xml:space="preserve"> helps you to identify pre-school and primary school children who are experiencing barriers to speech and language development so that you can support them early in their education journey.</w:t>
            </w:r>
            <w:r w:rsidR="0046167A">
              <w:rPr>
                <w:sz w:val="22"/>
              </w:rPr>
              <w:t xml:space="preserve"> </w:t>
            </w:r>
            <w:r w:rsidR="001D2530">
              <w:rPr>
                <w:sz w:val="22"/>
              </w:rPr>
              <w:t xml:space="preserve">Oral language interventions can have a positive impact on Pupils’ language skills. Approaches that focus on speaking, listening and a combination of the two show positive impacts on attainment. </w:t>
            </w:r>
          </w:p>
          <w:p w14:paraId="2A7D552A" w14:textId="249A6C03" w:rsidR="00FE115D" w:rsidRDefault="0007520E" w:rsidP="00C31636">
            <w:pPr>
              <w:pStyle w:val="TableRowCentered"/>
              <w:ind w:left="0" w:right="0"/>
              <w:jc w:val="left"/>
              <w:rPr>
                <w:sz w:val="22"/>
              </w:rPr>
            </w:pPr>
            <w:hyperlink r:id="rId18" w:history="1">
              <w:proofErr w:type="spellStart"/>
              <w:r w:rsidR="00FE115D">
                <w:rPr>
                  <w:rStyle w:val="Hyperlink"/>
                </w:rPr>
                <w:t>WellComm</w:t>
              </w:r>
              <w:proofErr w:type="spellEnd"/>
              <w:r w:rsidR="00FE115D">
                <w:rPr>
                  <w:rStyle w:val="Hyperlink"/>
                </w:rPr>
                <w:t xml:space="preserve"> - GL Assessment</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B" w14:textId="65E1F0DC" w:rsidR="00E66558" w:rsidRDefault="001D2530" w:rsidP="00C31636">
            <w:pPr>
              <w:pStyle w:val="TableRowCentered"/>
              <w:ind w:left="0" w:right="0"/>
              <w:jc w:val="left"/>
              <w:rPr>
                <w:sz w:val="22"/>
              </w:rPr>
            </w:pPr>
            <w:r>
              <w:rPr>
                <w:sz w:val="22"/>
              </w:rPr>
              <w:t>1,2,3,4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A6B80" w14:textId="77777777" w:rsidR="001D2530" w:rsidRPr="00EE0047" w:rsidRDefault="001D2530" w:rsidP="001D2530">
            <w:pPr>
              <w:pStyle w:val="TableRow"/>
              <w:numPr>
                <w:ilvl w:val="0"/>
                <w:numId w:val="1"/>
              </w:numPr>
              <w:rPr>
                <w:iCs/>
                <w:sz w:val="22"/>
              </w:rPr>
            </w:pPr>
            <w:r w:rsidRPr="00EE0047">
              <w:rPr>
                <w:iCs/>
                <w:sz w:val="22"/>
              </w:rPr>
              <w:lastRenderedPageBreak/>
              <w:t>Accelerated reader</w:t>
            </w:r>
          </w:p>
          <w:p w14:paraId="139AF2CE" w14:textId="77777777" w:rsidR="001D2530" w:rsidRPr="00EE0047" w:rsidRDefault="001D2530" w:rsidP="001D2530">
            <w:pPr>
              <w:pStyle w:val="TableRow"/>
              <w:numPr>
                <w:ilvl w:val="0"/>
                <w:numId w:val="1"/>
              </w:numPr>
              <w:rPr>
                <w:iCs/>
                <w:sz w:val="22"/>
              </w:rPr>
            </w:pPr>
            <w:r w:rsidRPr="00EE0047">
              <w:rPr>
                <w:iCs/>
                <w:sz w:val="22"/>
              </w:rPr>
              <w:t>programme (continued</w:t>
            </w:r>
          </w:p>
          <w:p w14:paraId="3A61927E" w14:textId="77777777" w:rsidR="001D2530" w:rsidRPr="00EE0047" w:rsidRDefault="001D2530" w:rsidP="001D2530">
            <w:pPr>
              <w:pStyle w:val="TableRow"/>
              <w:numPr>
                <w:ilvl w:val="0"/>
                <w:numId w:val="1"/>
              </w:numPr>
              <w:rPr>
                <w:iCs/>
                <w:sz w:val="22"/>
              </w:rPr>
            </w:pPr>
            <w:r w:rsidRPr="00EE0047">
              <w:rPr>
                <w:iCs/>
                <w:sz w:val="22"/>
              </w:rPr>
              <w:t>provision from previous</w:t>
            </w:r>
          </w:p>
          <w:p w14:paraId="4C3DB474" w14:textId="77777777" w:rsidR="001D2530" w:rsidRPr="00EE0047" w:rsidRDefault="001D2530" w:rsidP="001D2530">
            <w:pPr>
              <w:pStyle w:val="TableRow"/>
              <w:numPr>
                <w:ilvl w:val="0"/>
                <w:numId w:val="1"/>
              </w:numPr>
              <w:rPr>
                <w:iCs/>
                <w:sz w:val="22"/>
              </w:rPr>
            </w:pPr>
            <w:r w:rsidRPr="00EE0047">
              <w:rPr>
                <w:iCs/>
                <w:sz w:val="22"/>
              </w:rPr>
              <w:t>year as proved</w:t>
            </w:r>
          </w:p>
          <w:p w14:paraId="7640A752" w14:textId="77777777" w:rsidR="001D2530" w:rsidRPr="00EE0047" w:rsidRDefault="001D2530" w:rsidP="001D2530">
            <w:pPr>
              <w:pStyle w:val="TableRow"/>
              <w:numPr>
                <w:ilvl w:val="0"/>
                <w:numId w:val="1"/>
              </w:numPr>
              <w:rPr>
                <w:iCs/>
                <w:sz w:val="22"/>
              </w:rPr>
            </w:pPr>
            <w:r w:rsidRPr="00EE0047">
              <w:rPr>
                <w:iCs/>
                <w:sz w:val="22"/>
              </w:rPr>
              <w:t>successful)</w:t>
            </w:r>
          </w:p>
          <w:p w14:paraId="2A7D552D" w14:textId="77777777" w:rsidR="00E66558" w:rsidRPr="00FE115D" w:rsidRDefault="00E66558" w:rsidP="00C31636">
            <w:pPr>
              <w:pStyle w:val="TableRow"/>
              <w:ind w:left="0" w:right="0"/>
              <w:rPr>
                <w:sz w:val="22"/>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9D43E" w14:textId="77777777" w:rsidR="00E66558" w:rsidRDefault="001D2530" w:rsidP="00C31636">
            <w:pPr>
              <w:pStyle w:val="TableRowCentered"/>
              <w:ind w:left="0" w:right="0"/>
              <w:jc w:val="left"/>
              <w:rPr>
                <w:sz w:val="22"/>
              </w:rPr>
            </w:pPr>
            <w:r w:rsidRPr="00EE0047">
              <w:rPr>
                <w:sz w:val="22"/>
              </w:rPr>
              <w:t>Programme is widely used with EEF recommendation. Assessment data gives ZPD scores that can be used to track progress. Investment was in a previous year but children are now accessing a wider range of text which need to be purchased. Further investment in staff CPD and supporting children with their reading and comprehension development.</w:t>
            </w:r>
          </w:p>
          <w:p w14:paraId="2A7D552E" w14:textId="7A76B0DA" w:rsidR="0046167A" w:rsidRDefault="0007520E" w:rsidP="00C31636">
            <w:pPr>
              <w:pStyle w:val="TableRowCentered"/>
              <w:ind w:left="0" w:right="0"/>
              <w:jc w:val="left"/>
              <w:rPr>
                <w:sz w:val="22"/>
              </w:rPr>
            </w:pPr>
            <w:hyperlink r:id="rId19" w:history="1">
              <w:r w:rsidR="0046167A">
                <w:rPr>
                  <w:rStyle w:val="Hyperlink"/>
                </w:rPr>
                <w:t>Accelerated Reader - second trial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F" w14:textId="49EB3587" w:rsidR="00E66558" w:rsidRDefault="001D2530" w:rsidP="00C31636">
            <w:pPr>
              <w:pStyle w:val="TableRowCentered"/>
              <w:ind w:left="0" w:right="0"/>
              <w:jc w:val="left"/>
              <w:rPr>
                <w:sz w:val="22"/>
              </w:rPr>
            </w:pPr>
            <w:r>
              <w:rPr>
                <w:sz w:val="22"/>
              </w:rPr>
              <w:t>1,2,3</w:t>
            </w:r>
          </w:p>
        </w:tc>
      </w:tr>
      <w:tr w:rsidR="001D2530" w14:paraId="1336EB0A"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5D65B" w14:textId="6203E158" w:rsidR="001D2530" w:rsidRPr="001D2530" w:rsidRDefault="001D2530" w:rsidP="001D2530">
            <w:pPr>
              <w:pStyle w:val="NormalWeb"/>
              <w:rPr>
                <w:rFonts w:ascii="Arial" w:hAnsi="Arial" w:cs="Arial"/>
                <w:iCs/>
                <w:sz w:val="22"/>
              </w:rPr>
            </w:pPr>
            <w:r>
              <w:rPr>
                <w:rFonts w:ascii="Arial" w:hAnsi="Arial" w:cs="Arial"/>
                <w:iCs/>
                <w:sz w:val="22"/>
              </w:rPr>
              <w:t xml:space="preserve">Additional phonics sessions targeted disadvantaged pupils who require further phonics support. This will be delivered in collaboration with out RWI program and the English Hub.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D946" w14:textId="77777777" w:rsidR="001D2530" w:rsidRDefault="001D2530" w:rsidP="00C31636">
            <w:pPr>
              <w:pStyle w:val="TableRowCentered"/>
              <w:ind w:left="0" w:right="0"/>
              <w:jc w:val="left"/>
              <w:rPr>
                <w:color w:val="000000"/>
                <w:sz w:val="22"/>
                <w:szCs w:val="27"/>
              </w:rPr>
            </w:pPr>
            <w:r w:rsidRPr="001D2530">
              <w:rPr>
                <w:color w:val="000000"/>
                <w:sz w:val="22"/>
                <w:szCs w:val="27"/>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p>
          <w:p w14:paraId="1C3D162F" w14:textId="55001584" w:rsidR="001D2530" w:rsidRPr="00EE0047" w:rsidRDefault="0007520E" w:rsidP="00C31636">
            <w:pPr>
              <w:pStyle w:val="TableRowCentered"/>
              <w:ind w:left="0" w:right="0"/>
              <w:jc w:val="left"/>
              <w:rPr>
                <w:sz w:val="22"/>
              </w:rPr>
            </w:pPr>
            <w:hyperlink r:id="rId20" w:history="1">
              <w:r w:rsidR="001D2530">
                <w:rPr>
                  <w:rStyle w:val="Hyperlink"/>
                </w:rPr>
                <w:t>Phonics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DA98" w14:textId="6199D523" w:rsidR="001D2530" w:rsidRDefault="001D2530" w:rsidP="00C31636">
            <w:pPr>
              <w:pStyle w:val="TableRowCentered"/>
              <w:ind w:left="0" w:right="0"/>
              <w:jc w:val="left"/>
              <w:rPr>
                <w:sz w:val="22"/>
              </w:rPr>
            </w:pPr>
            <w:r>
              <w:rPr>
                <w:sz w:val="22"/>
              </w:rPr>
              <w:t>1</w:t>
            </w:r>
          </w:p>
        </w:tc>
      </w:tr>
      <w:tr w:rsidR="001D2530" w14:paraId="6F694B3A"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0B4CB" w14:textId="6922800F" w:rsidR="001D2530" w:rsidRDefault="001D2530" w:rsidP="001D2530">
            <w:pPr>
              <w:pStyle w:val="NormalWeb"/>
              <w:rPr>
                <w:rFonts w:ascii="Arial" w:hAnsi="Arial" w:cs="Arial"/>
                <w:iCs/>
                <w:sz w:val="22"/>
              </w:rPr>
            </w:pPr>
            <w:r>
              <w:rPr>
                <w:rFonts w:ascii="Arial" w:hAnsi="Arial" w:cs="Arial"/>
                <w:iCs/>
                <w:sz w:val="22"/>
              </w:rPr>
              <w:t xml:space="preserve">Literacy Interventions that support children with the key skills they need to progress in writing.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2C1B5" w14:textId="1A64A186" w:rsidR="001D2530" w:rsidRDefault="001D2530" w:rsidP="00C31636">
            <w:pPr>
              <w:pStyle w:val="TableRowCentered"/>
              <w:ind w:left="0" w:right="0"/>
              <w:jc w:val="left"/>
              <w:rPr>
                <w:color w:val="000000"/>
                <w:sz w:val="22"/>
                <w:szCs w:val="27"/>
              </w:rPr>
            </w:pPr>
            <w:r>
              <w:rPr>
                <w:color w:val="000000"/>
                <w:sz w:val="22"/>
                <w:szCs w:val="27"/>
              </w:rPr>
              <w:t xml:space="preserve">Tuition targeted at specific needs and knowledge gaps can be an effective method to support low attaining pupils or those falling behind. </w:t>
            </w:r>
          </w:p>
          <w:p w14:paraId="4AFA96C7" w14:textId="77777777" w:rsidR="001D2530" w:rsidRDefault="0007520E" w:rsidP="00C31636">
            <w:pPr>
              <w:pStyle w:val="TableRowCentered"/>
              <w:ind w:left="0" w:right="0"/>
              <w:jc w:val="left"/>
            </w:pPr>
            <w:hyperlink r:id="rId21" w:history="1">
              <w:r w:rsidR="001D2530">
                <w:rPr>
                  <w:rStyle w:val="Hyperlink"/>
                </w:rPr>
                <w:t>Selecting interventions | EEF</w:t>
              </w:r>
            </w:hyperlink>
          </w:p>
          <w:p w14:paraId="71E4E56F" w14:textId="77777777" w:rsidR="001D2530" w:rsidRDefault="0007520E" w:rsidP="00C31636">
            <w:pPr>
              <w:pStyle w:val="TableRowCentered"/>
              <w:ind w:left="0" w:right="0"/>
              <w:jc w:val="left"/>
            </w:pPr>
            <w:hyperlink r:id="rId22" w:history="1">
              <w:r w:rsidR="001D2530">
                <w:rPr>
                  <w:rStyle w:val="Hyperlink"/>
                </w:rPr>
                <w:t>One to one tuition | EEF</w:t>
              </w:r>
            </w:hyperlink>
          </w:p>
          <w:p w14:paraId="2FA4AF5B" w14:textId="7799E072" w:rsidR="001D2530" w:rsidRPr="001D2530" w:rsidRDefault="0007520E" w:rsidP="00C31636">
            <w:pPr>
              <w:pStyle w:val="TableRowCentered"/>
              <w:ind w:left="0" w:right="0"/>
              <w:jc w:val="left"/>
              <w:rPr>
                <w:color w:val="000000"/>
                <w:sz w:val="22"/>
                <w:szCs w:val="27"/>
              </w:rPr>
            </w:pPr>
            <w:hyperlink r:id="rId23" w:history="1">
              <w:r w:rsidR="001D2530">
                <w:rPr>
                  <w:rStyle w:val="Hyperlink"/>
                </w:rPr>
                <w:t>Small group tuition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80734" w14:textId="39964AEF" w:rsidR="001D2530" w:rsidRDefault="0046167A" w:rsidP="00C31636">
            <w:pPr>
              <w:pStyle w:val="TableRowCentered"/>
              <w:ind w:left="0" w:right="0"/>
              <w:jc w:val="left"/>
              <w:rPr>
                <w:sz w:val="22"/>
              </w:rPr>
            </w:pPr>
            <w:r>
              <w:rPr>
                <w:sz w:val="22"/>
              </w:rPr>
              <w:t>1,2</w:t>
            </w:r>
          </w:p>
        </w:tc>
      </w:tr>
      <w:tr w:rsidR="00906FA0" w14:paraId="3FA7DCF8"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AE18C" w14:textId="5D98C24A" w:rsidR="00906FA0" w:rsidRDefault="00906FA0" w:rsidP="001D2530">
            <w:pPr>
              <w:pStyle w:val="NormalWeb"/>
              <w:rPr>
                <w:rFonts w:ascii="Arial" w:hAnsi="Arial" w:cs="Arial"/>
                <w:iCs/>
                <w:sz w:val="22"/>
              </w:rPr>
            </w:pPr>
            <w:r>
              <w:rPr>
                <w:rFonts w:ascii="Arial" w:hAnsi="Arial" w:cs="Arial"/>
                <w:iCs/>
                <w:sz w:val="22"/>
              </w:rPr>
              <w:t xml:space="preserve">Maths targeted interventions- Mastering Number, Number sense, use of Power Maths and White Rose Maths to support and challenge.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A66E2" w14:textId="0A6ECAB6" w:rsidR="00906FA0" w:rsidRDefault="00906FA0" w:rsidP="00C31636">
            <w:pPr>
              <w:pStyle w:val="TableRowCentered"/>
              <w:ind w:left="0" w:right="0"/>
              <w:jc w:val="left"/>
              <w:rPr>
                <w:color w:val="000000"/>
                <w:sz w:val="22"/>
                <w:szCs w:val="27"/>
              </w:rPr>
            </w:pPr>
            <w:r>
              <w:rPr>
                <w:color w:val="000000"/>
                <w:sz w:val="22"/>
                <w:szCs w:val="27"/>
              </w:rPr>
              <w:t xml:space="preserve">Math strategies across the school, that have a strong evidence base for improving mathematical knowledge and understanding, implemented to support and bridge the gap with children across the school including those who are disadvantaged. </w:t>
            </w:r>
          </w:p>
          <w:p w14:paraId="57636B07" w14:textId="330BAF33" w:rsidR="00906FA0" w:rsidRDefault="00906FA0" w:rsidP="00C31636">
            <w:pPr>
              <w:pStyle w:val="TableRowCentered"/>
              <w:ind w:left="0" w:right="0"/>
              <w:jc w:val="left"/>
            </w:pPr>
            <w:hyperlink r:id="rId24" w:history="1">
              <w:r>
                <w:rPr>
                  <w:rStyle w:val="Hyperlink"/>
                </w:rPr>
                <w:t>Improving Mathematics in Key Stages 2 and 3 | EEF</w:t>
              </w:r>
            </w:hyperlink>
          </w:p>
          <w:p w14:paraId="624D065A" w14:textId="5E6F901C" w:rsidR="00906FA0" w:rsidRDefault="00906FA0" w:rsidP="00C31636">
            <w:pPr>
              <w:pStyle w:val="TableRowCentered"/>
              <w:ind w:left="0" w:right="0"/>
              <w:jc w:val="left"/>
            </w:pPr>
            <w:hyperlink r:id="rId25" w:history="1">
              <w:r>
                <w:rPr>
                  <w:rStyle w:val="Hyperlink"/>
                </w:rPr>
                <w:t>Ark Mathematics Mastery | EEF</w:t>
              </w:r>
            </w:hyperlink>
          </w:p>
          <w:p w14:paraId="687B7ED0" w14:textId="7627931B" w:rsidR="00906FA0" w:rsidRPr="00906FA0" w:rsidRDefault="00906FA0" w:rsidP="00C31636">
            <w:pPr>
              <w:pStyle w:val="TableRowCentered"/>
              <w:ind w:left="0" w:right="0"/>
              <w:jc w:val="left"/>
            </w:pPr>
            <w:hyperlink r:id="rId26" w:history="1">
              <w:r>
                <w:rPr>
                  <w:rStyle w:val="Hyperlink"/>
                </w:rPr>
                <w:t>Early numeracy approaches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CF24A" w14:textId="1764A085" w:rsidR="00906FA0" w:rsidRDefault="00906FA0" w:rsidP="00C31636">
            <w:pPr>
              <w:pStyle w:val="TableRowCentered"/>
              <w:ind w:left="0" w:right="0"/>
              <w:jc w:val="left"/>
              <w:rPr>
                <w:sz w:val="22"/>
              </w:rPr>
            </w:pPr>
            <w:r>
              <w:rPr>
                <w:sz w:val="22"/>
              </w:rPr>
              <w:t>1,2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810C3DA" w:rsidR="00E66558" w:rsidRDefault="009D71E8">
      <w:pPr>
        <w:spacing w:before="240" w:after="120"/>
      </w:pPr>
      <w:r>
        <w:t xml:space="preserve">Budgeted cost: £ </w:t>
      </w:r>
      <w:r w:rsidR="0020395C">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4372D" w14:textId="77777777" w:rsidR="00E66558" w:rsidRDefault="0046167A" w:rsidP="00C31636">
            <w:pPr>
              <w:pStyle w:val="TableRow"/>
              <w:ind w:left="0" w:right="0"/>
              <w:rPr>
                <w:iCs/>
                <w:sz w:val="22"/>
                <w:szCs w:val="22"/>
              </w:rPr>
            </w:pPr>
            <w:r>
              <w:rPr>
                <w:iCs/>
                <w:sz w:val="22"/>
                <w:szCs w:val="22"/>
              </w:rPr>
              <w:lastRenderedPageBreak/>
              <w:t xml:space="preserve">Embedding principles of good practice set out in the DFE’s guidance on working together to improve attendance. </w:t>
            </w:r>
          </w:p>
          <w:p w14:paraId="14F1F36A" w14:textId="77777777" w:rsidR="0046167A" w:rsidRDefault="0007520E" w:rsidP="00C31636">
            <w:pPr>
              <w:pStyle w:val="TableRow"/>
              <w:ind w:left="0" w:right="0"/>
            </w:pPr>
            <w:hyperlink r:id="rId27" w:history="1">
              <w:r w:rsidR="0046167A">
                <w:rPr>
                  <w:rStyle w:val="Hyperlink"/>
                </w:rPr>
                <w:t>Working together to improve school attendance - GOV.UK</w:t>
              </w:r>
            </w:hyperlink>
          </w:p>
          <w:p w14:paraId="2A7D5538" w14:textId="08E157A4" w:rsidR="0046167A" w:rsidRPr="0046167A" w:rsidRDefault="0046167A" w:rsidP="00C31636">
            <w:pPr>
              <w:pStyle w:val="TableRow"/>
              <w:ind w:left="0" w:right="0"/>
            </w:pPr>
            <w:r>
              <w:t xml:space="preserve">This will involve staff training and time to develop staff in implementing new procedures.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9" w14:textId="0EBA33E7" w:rsidR="00E66558" w:rsidRDefault="0046167A" w:rsidP="00C31636">
            <w:pPr>
              <w:pStyle w:val="TableRowCentered"/>
              <w:ind w:left="0" w:right="0"/>
              <w:jc w:val="left"/>
              <w:rPr>
                <w:sz w:val="22"/>
              </w:rPr>
            </w:pPr>
            <w:r>
              <w:rPr>
                <w:sz w:val="22"/>
              </w:rPr>
              <w:t xml:space="preserve">The DFE guidance has been informed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A" w14:textId="24C35537" w:rsidR="00E66558" w:rsidRDefault="009F425A" w:rsidP="00C31636">
            <w:pPr>
              <w:pStyle w:val="TableRowCentered"/>
              <w:ind w:left="0" w:right="0"/>
              <w:jc w:val="left"/>
              <w:rPr>
                <w:sz w:val="22"/>
              </w:rPr>
            </w:pPr>
            <w:r>
              <w:rPr>
                <w:sz w:val="22"/>
              </w:rPr>
              <w:t>2,3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614B5" w14:textId="77777777" w:rsidR="00E66558" w:rsidRDefault="0046167A" w:rsidP="00C31636">
            <w:pPr>
              <w:pStyle w:val="TableRow"/>
              <w:ind w:left="0" w:right="0"/>
              <w:rPr>
                <w:sz w:val="22"/>
              </w:rPr>
            </w:pPr>
            <w:r>
              <w:rPr>
                <w:sz w:val="22"/>
              </w:rPr>
              <w:t xml:space="preserve">SEMH interventions (Treetops) Time to release staff to support children with their wellbeing and offer targeted interventions. </w:t>
            </w:r>
          </w:p>
          <w:p w14:paraId="40A9E80F" w14:textId="77777777" w:rsidR="0046167A" w:rsidRDefault="0046167A" w:rsidP="00C31636">
            <w:pPr>
              <w:pStyle w:val="TableRow"/>
              <w:ind w:left="0" w:right="0"/>
              <w:rPr>
                <w:sz w:val="22"/>
              </w:rPr>
            </w:pPr>
          </w:p>
          <w:p w14:paraId="7C13B087" w14:textId="77777777" w:rsidR="0046167A" w:rsidRDefault="0046167A" w:rsidP="00C31636">
            <w:pPr>
              <w:pStyle w:val="TableRow"/>
              <w:ind w:left="0" w:right="0"/>
              <w:rPr>
                <w:sz w:val="22"/>
              </w:rPr>
            </w:pPr>
            <w:r>
              <w:rPr>
                <w:sz w:val="22"/>
              </w:rPr>
              <w:t xml:space="preserve">Staff training for ELSA, MELSA. </w:t>
            </w:r>
          </w:p>
          <w:p w14:paraId="2A7D553C" w14:textId="543486F2" w:rsidR="0046167A" w:rsidRPr="0046167A" w:rsidRDefault="0046167A" w:rsidP="00C31636">
            <w:pPr>
              <w:pStyle w:val="TableRow"/>
              <w:ind w:left="0" w:right="0"/>
              <w:rPr>
                <w:sz w:val="22"/>
              </w:rPr>
            </w:pPr>
            <w:r>
              <w:rPr>
                <w:sz w:val="22"/>
              </w:rPr>
              <w:t xml:space="preserve">Swans counselling offered to children who need extra support with their wellbeing.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7ADD3" w14:textId="0C066D5E" w:rsidR="00E66558" w:rsidRDefault="0046167A" w:rsidP="00C31636">
            <w:pPr>
              <w:pStyle w:val="TableRowCentered"/>
              <w:ind w:left="0" w:right="0"/>
              <w:jc w:val="left"/>
              <w:rPr>
                <w:sz w:val="22"/>
              </w:rPr>
            </w:pPr>
            <w:r w:rsidRPr="00FB762A">
              <w:rPr>
                <w:sz w:val="22"/>
              </w:rPr>
              <w:t>Bespoke interventions for children: · Acorns · Treetops SEMH provision · ELSA · Preparing for Adulthood</w:t>
            </w:r>
          </w:p>
          <w:p w14:paraId="6D9E63F8" w14:textId="20B3AB65" w:rsidR="0046167A" w:rsidRDefault="0046167A" w:rsidP="00C31636">
            <w:pPr>
              <w:pStyle w:val="TableRowCentered"/>
              <w:ind w:left="0" w:right="0"/>
              <w:jc w:val="left"/>
              <w:rPr>
                <w:sz w:val="22"/>
              </w:rPr>
            </w:pPr>
          </w:p>
          <w:p w14:paraId="2A7D553D" w14:textId="75279B55" w:rsidR="0046167A" w:rsidRDefault="0007520E" w:rsidP="00C31636">
            <w:pPr>
              <w:pStyle w:val="TableRowCentered"/>
              <w:ind w:left="0" w:right="0"/>
              <w:jc w:val="left"/>
              <w:rPr>
                <w:sz w:val="22"/>
              </w:rPr>
            </w:pPr>
            <w:hyperlink r:id="rId28" w:history="1">
              <w:r w:rsidR="0046167A">
                <w:rPr>
                  <w:rStyle w:val="Hyperlink"/>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E" w14:textId="3BDC6D07" w:rsidR="00E66558" w:rsidRDefault="009F425A" w:rsidP="00C31636">
            <w:pPr>
              <w:pStyle w:val="TableRowCentered"/>
              <w:ind w:left="0" w:right="0"/>
              <w:jc w:val="left"/>
              <w:rPr>
                <w:sz w:val="22"/>
              </w:rPr>
            </w:pPr>
            <w:r>
              <w:rPr>
                <w:sz w:val="22"/>
              </w:rPr>
              <w:t>2,3</w:t>
            </w:r>
          </w:p>
        </w:tc>
      </w:tr>
      <w:tr w:rsidR="0046167A" w14:paraId="28697CE6"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AA8E5" w14:textId="77777777" w:rsidR="0046167A" w:rsidRPr="00FB762A" w:rsidRDefault="0046167A" w:rsidP="0046167A">
            <w:pPr>
              <w:pStyle w:val="TableRow"/>
              <w:numPr>
                <w:ilvl w:val="0"/>
                <w:numId w:val="1"/>
              </w:numPr>
              <w:rPr>
                <w:iCs/>
                <w:sz w:val="22"/>
              </w:rPr>
            </w:pPr>
            <w:r w:rsidRPr="00FB762A">
              <w:rPr>
                <w:iCs/>
                <w:sz w:val="22"/>
              </w:rPr>
              <w:t>Increase staff presence</w:t>
            </w:r>
          </w:p>
          <w:p w14:paraId="7ECE1D26" w14:textId="77777777" w:rsidR="0046167A" w:rsidRPr="00FB762A" w:rsidRDefault="0046167A" w:rsidP="0046167A">
            <w:pPr>
              <w:pStyle w:val="TableRow"/>
              <w:numPr>
                <w:ilvl w:val="0"/>
                <w:numId w:val="1"/>
              </w:numPr>
              <w:rPr>
                <w:iCs/>
                <w:sz w:val="22"/>
              </w:rPr>
            </w:pPr>
            <w:r w:rsidRPr="00FB762A">
              <w:rPr>
                <w:iCs/>
                <w:sz w:val="22"/>
              </w:rPr>
              <w:t>and interactions during</w:t>
            </w:r>
          </w:p>
          <w:p w14:paraId="44413157" w14:textId="77777777" w:rsidR="0046167A" w:rsidRPr="00FB762A" w:rsidRDefault="0046167A" w:rsidP="0046167A">
            <w:pPr>
              <w:pStyle w:val="TableRow"/>
              <w:numPr>
                <w:ilvl w:val="0"/>
                <w:numId w:val="1"/>
              </w:numPr>
              <w:rPr>
                <w:iCs/>
                <w:sz w:val="22"/>
              </w:rPr>
            </w:pPr>
            <w:r w:rsidRPr="00FB762A">
              <w:rPr>
                <w:iCs/>
                <w:sz w:val="22"/>
              </w:rPr>
              <w:t>less structured times.</w:t>
            </w:r>
          </w:p>
          <w:p w14:paraId="140EBE3C" w14:textId="77777777" w:rsidR="0046167A" w:rsidRPr="00FB762A" w:rsidRDefault="0046167A" w:rsidP="0046167A">
            <w:pPr>
              <w:pStyle w:val="TableRow"/>
              <w:numPr>
                <w:ilvl w:val="0"/>
                <w:numId w:val="1"/>
              </w:numPr>
              <w:rPr>
                <w:iCs/>
                <w:sz w:val="22"/>
              </w:rPr>
            </w:pPr>
            <w:r w:rsidRPr="00FB762A">
              <w:rPr>
                <w:iCs/>
                <w:sz w:val="22"/>
              </w:rPr>
              <w:t>Staff training in wellbeing,</w:t>
            </w:r>
          </w:p>
          <w:p w14:paraId="14A4BF4B" w14:textId="77777777" w:rsidR="0046167A" w:rsidRPr="00FB762A" w:rsidRDefault="0046167A" w:rsidP="0046167A">
            <w:pPr>
              <w:pStyle w:val="TableRow"/>
              <w:numPr>
                <w:ilvl w:val="0"/>
                <w:numId w:val="1"/>
              </w:numPr>
              <w:rPr>
                <w:iCs/>
                <w:sz w:val="22"/>
              </w:rPr>
            </w:pPr>
            <w:r w:rsidRPr="00FB762A">
              <w:rPr>
                <w:iCs/>
                <w:sz w:val="22"/>
              </w:rPr>
              <w:t>emotion coaching and</w:t>
            </w:r>
          </w:p>
          <w:p w14:paraId="0F4B5C44" w14:textId="77777777" w:rsidR="0046167A" w:rsidRPr="00FB762A" w:rsidRDefault="0046167A" w:rsidP="0046167A">
            <w:pPr>
              <w:pStyle w:val="TableRow"/>
              <w:numPr>
                <w:ilvl w:val="0"/>
                <w:numId w:val="1"/>
              </w:numPr>
              <w:rPr>
                <w:iCs/>
                <w:sz w:val="22"/>
              </w:rPr>
            </w:pPr>
            <w:r w:rsidRPr="00FB762A">
              <w:rPr>
                <w:iCs/>
                <w:sz w:val="22"/>
              </w:rPr>
              <w:t>healthy active sessions.</w:t>
            </w:r>
          </w:p>
          <w:p w14:paraId="47465333" w14:textId="77777777" w:rsidR="0046167A" w:rsidRDefault="0046167A" w:rsidP="00C31636">
            <w:pPr>
              <w:pStyle w:val="TableRow"/>
              <w:ind w:left="0" w:right="0"/>
              <w:rPr>
                <w:sz w:val="22"/>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2A06B" w14:textId="0AC2FFCD" w:rsidR="0046167A" w:rsidRPr="00FB762A" w:rsidRDefault="0046167A" w:rsidP="00C31636">
            <w:pPr>
              <w:pStyle w:val="TableRowCentered"/>
              <w:ind w:left="0" w:right="0"/>
              <w:jc w:val="left"/>
              <w:rPr>
                <w:sz w:val="22"/>
              </w:rPr>
            </w:pPr>
            <w:r w:rsidRPr="00FB762A">
              <w:rPr>
                <w:sz w:val="22"/>
              </w:rPr>
              <w:t>PE coach available at lunch times to ensure children have access to an increased amount of healthy active sessions. Mental Health Champions available to share activities with children on the field. Training for Midday Assistants to run games and sports during these unstructured times</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1215B" w14:textId="13E90857" w:rsidR="0046167A" w:rsidRDefault="009F425A" w:rsidP="00C31636">
            <w:pPr>
              <w:pStyle w:val="TableRowCentered"/>
              <w:ind w:left="0" w:right="0"/>
              <w:jc w:val="left"/>
              <w:rPr>
                <w:sz w:val="22"/>
              </w:rPr>
            </w:pPr>
            <w:r>
              <w:rPr>
                <w:sz w:val="22"/>
              </w:rPr>
              <w:t>2,3</w:t>
            </w:r>
          </w:p>
        </w:tc>
      </w:tr>
      <w:tr w:rsidR="009F425A" w14:paraId="34A46DBE"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CE0E2" w14:textId="27467F73" w:rsidR="009F425A" w:rsidRPr="00FB762A" w:rsidRDefault="009F425A" w:rsidP="0046167A">
            <w:pPr>
              <w:pStyle w:val="TableRow"/>
              <w:numPr>
                <w:ilvl w:val="0"/>
                <w:numId w:val="1"/>
              </w:numPr>
              <w:rPr>
                <w:iCs/>
                <w:sz w:val="22"/>
              </w:rPr>
            </w:pPr>
            <w:r>
              <w:rPr>
                <w:iCs/>
                <w:sz w:val="22"/>
              </w:rPr>
              <w:t xml:space="preserve">Breakfast club offer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08D12" w14:textId="12339353" w:rsidR="009F425A" w:rsidRDefault="009F425A" w:rsidP="00C31636">
            <w:pPr>
              <w:pStyle w:val="TableRowCentered"/>
              <w:ind w:left="0" w:right="0"/>
              <w:jc w:val="left"/>
              <w:rPr>
                <w:sz w:val="22"/>
              </w:rPr>
            </w:pPr>
            <w:r w:rsidRPr="009F425A">
              <w:rPr>
                <w:sz w:val="22"/>
              </w:rPr>
              <w:t xml:space="preserve">A paid breakfast </w:t>
            </w:r>
            <w:r>
              <w:rPr>
                <w:sz w:val="22"/>
              </w:rPr>
              <w:t xml:space="preserve">club is offered everyday for children. </w:t>
            </w:r>
          </w:p>
          <w:p w14:paraId="5FA7878E" w14:textId="434F2996" w:rsidR="009F425A" w:rsidRDefault="009F425A" w:rsidP="00C31636">
            <w:pPr>
              <w:pStyle w:val="TableRowCentered"/>
              <w:ind w:left="0" w:right="0"/>
              <w:jc w:val="left"/>
              <w:rPr>
                <w:sz w:val="22"/>
              </w:rPr>
            </w:pPr>
          </w:p>
          <w:p w14:paraId="0EC3FEDE" w14:textId="6E0F204D" w:rsidR="009F425A" w:rsidRPr="0020395C" w:rsidRDefault="0020395C" w:rsidP="00C31636">
            <w:pPr>
              <w:pStyle w:val="TableRowCentered"/>
              <w:ind w:left="0" w:right="0"/>
              <w:jc w:val="left"/>
              <w:rPr>
                <w:sz w:val="22"/>
              </w:rPr>
            </w:pPr>
            <w:r>
              <w:rPr>
                <w:sz w:val="22"/>
              </w:rPr>
              <w:t xml:space="preserve">In addition to this, as a school, we offer a breakfast club to have a softer start into school. TAs are released to do this to support good attendance. </w:t>
            </w:r>
          </w:p>
          <w:p w14:paraId="678BFF83" w14:textId="555718CA" w:rsidR="009F425A" w:rsidRPr="0020395C" w:rsidRDefault="0007520E" w:rsidP="00C31636">
            <w:pPr>
              <w:pStyle w:val="TableRowCentered"/>
              <w:ind w:left="0" w:right="0"/>
              <w:jc w:val="left"/>
            </w:pPr>
            <w:hyperlink r:id="rId29" w:history="1">
              <w:r w:rsidR="009F425A">
                <w:rPr>
                  <w:rStyle w:val="Hyperlink"/>
                </w:rPr>
                <w:t>Magic Breakfast - trial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63463" w14:textId="0E9134E7" w:rsidR="009F425A" w:rsidRDefault="0020395C" w:rsidP="00C31636">
            <w:pPr>
              <w:pStyle w:val="TableRowCentered"/>
              <w:ind w:left="0" w:right="0"/>
              <w:jc w:val="left"/>
              <w:rPr>
                <w:sz w:val="22"/>
              </w:rPr>
            </w:pPr>
            <w:r>
              <w:rPr>
                <w:sz w:val="22"/>
              </w:rPr>
              <w:t>2,3</w:t>
            </w:r>
          </w:p>
        </w:tc>
      </w:tr>
      <w:tr w:rsidR="009F425A" w14:paraId="75D8C50F"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E1E75" w14:textId="36C2413E" w:rsidR="009F425A" w:rsidRDefault="009F425A" w:rsidP="0046167A">
            <w:pPr>
              <w:pStyle w:val="TableRow"/>
              <w:numPr>
                <w:ilvl w:val="0"/>
                <w:numId w:val="1"/>
              </w:numPr>
              <w:rPr>
                <w:iCs/>
                <w:sz w:val="22"/>
              </w:rPr>
            </w:pPr>
            <w:r>
              <w:rPr>
                <w:iCs/>
                <w:sz w:val="22"/>
              </w:rPr>
              <w:t xml:space="preserve">Attendance action plans for children </w:t>
            </w:r>
            <w:r w:rsidR="0020395C">
              <w:rPr>
                <w:iCs/>
                <w:sz w:val="22"/>
              </w:rPr>
              <w:t xml:space="preserve">(specific focus on PP and disadvantaged children) </w:t>
            </w:r>
            <w:r>
              <w:rPr>
                <w:iCs/>
                <w:sz w:val="22"/>
              </w:rPr>
              <w:t xml:space="preserve">falling below the expected percentage for attendance.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3687D" w14:textId="28A6FD1B" w:rsidR="009F425A" w:rsidRDefault="0020395C" w:rsidP="00C31636">
            <w:pPr>
              <w:pStyle w:val="TableRowCentered"/>
              <w:ind w:left="0" w:right="0"/>
              <w:jc w:val="left"/>
            </w:pPr>
            <w:r w:rsidRPr="0020395C">
              <w:rPr>
                <w:sz w:val="22"/>
              </w:rPr>
              <w:t xml:space="preserve">A collaborative approach which allows a clear focus on attendance and partnership with home and school.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C5229" w14:textId="73A73B3C" w:rsidR="009F425A" w:rsidRDefault="0020395C" w:rsidP="00C31636">
            <w:pPr>
              <w:pStyle w:val="TableRowCentered"/>
              <w:ind w:left="0" w:right="0"/>
              <w:jc w:val="left"/>
              <w:rPr>
                <w:sz w:val="22"/>
              </w:rPr>
            </w:pPr>
            <w:r>
              <w:rPr>
                <w:sz w:val="22"/>
              </w:rPr>
              <w:t>3</w:t>
            </w:r>
          </w:p>
        </w:tc>
      </w:tr>
      <w:tr w:rsidR="0020395C" w14:paraId="269BFB28" w14:textId="77777777">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0E5E7" w14:textId="77777777" w:rsidR="0020395C" w:rsidRDefault="0020395C" w:rsidP="0046167A">
            <w:pPr>
              <w:pStyle w:val="TableRow"/>
              <w:numPr>
                <w:ilvl w:val="0"/>
                <w:numId w:val="1"/>
              </w:numPr>
              <w:rPr>
                <w:iCs/>
                <w:sz w:val="22"/>
              </w:rPr>
            </w:pPr>
            <w:r>
              <w:rPr>
                <w:iCs/>
                <w:sz w:val="22"/>
              </w:rPr>
              <w:lastRenderedPageBreak/>
              <w:t xml:space="preserve">Extra sessions for PP children to support their attendance and wellbeing. </w:t>
            </w:r>
          </w:p>
          <w:p w14:paraId="2E7707E2" w14:textId="3E8F3CD8" w:rsidR="0020395C" w:rsidRDefault="0020395C" w:rsidP="0046167A">
            <w:pPr>
              <w:pStyle w:val="TableRow"/>
              <w:numPr>
                <w:ilvl w:val="0"/>
                <w:numId w:val="1"/>
              </w:numPr>
              <w:rPr>
                <w:iCs/>
                <w:sz w:val="22"/>
              </w:rPr>
            </w:pPr>
            <w:r>
              <w:rPr>
                <w:iCs/>
                <w:sz w:val="22"/>
              </w:rPr>
              <w:t xml:space="preserve">Woodland sessions and swimming sessions.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C4B8F" w14:textId="77777777" w:rsidR="0020395C" w:rsidRDefault="0007520E" w:rsidP="00C31636">
            <w:pPr>
              <w:pStyle w:val="TableRowCentered"/>
              <w:ind w:left="0" w:right="0"/>
              <w:jc w:val="left"/>
            </w:pPr>
            <w:hyperlink r:id="rId30" w:history="1">
              <w:r w:rsidR="0020395C">
                <w:rPr>
                  <w:rStyle w:val="Hyperlink"/>
                </w:rPr>
                <w:t>Social and emotional learning | EEF</w:t>
              </w:r>
            </w:hyperlink>
          </w:p>
          <w:p w14:paraId="27763C0D" w14:textId="5FBBB67A" w:rsidR="0020395C" w:rsidRPr="0020395C" w:rsidRDefault="0007520E" w:rsidP="00C31636">
            <w:pPr>
              <w:pStyle w:val="TableRowCentered"/>
              <w:ind w:left="0" w:right="0"/>
              <w:jc w:val="left"/>
              <w:rPr>
                <w:sz w:val="22"/>
              </w:rPr>
            </w:pPr>
            <w:hyperlink r:id="rId31" w:history="1">
              <w:r w:rsidR="0020395C">
                <w:rPr>
                  <w:rStyle w:val="Hyperlink"/>
                </w:rPr>
                <w:t>Physical activity | EEF</w:t>
              </w:r>
            </w:hyperlink>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A751E" w14:textId="19DEA213" w:rsidR="0020395C" w:rsidRDefault="0020395C" w:rsidP="00C31636">
            <w:pPr>
              <w:pStyle w:val="TableRowCentered"/>
              <w:ind w:left="0" w:right="0"/>
              <w:jc w:val="left"/>
              <w:rPr>
                <w:sz w:val="22"/>
              </w:rPr>
            </w:pPr>
            <w:r>
              <w:rPr>
                <w:sz w:val="22"/>
              </w:rPr>
              <w:t>2,3</w:t>
            </w:r>
          </w:p>
        </w:tc>
      </w:tr>
    </w:tbl>
    <w:p w14:paraId="2A7D5540" w14:textId="0CFC791D" w:rsidR="00E66558" w:rsidRDefault="00E66558">
      <w:pPr>
        <w:spacing w:before="240" w:after="0"/>
        <w:rPr>
          <w:b/>
          <w:bCs/>
          <w:color w:val="104F75"/>
          <w:sz w:val="28"/>
          <w:szCs w:val="28"/>
        </w:rPr>
      </w:pPr>
    </w:p>
    <w:p w14:paraId="4CBF0894" w14:textId="77777777" w:rsidR="0020395C" w:rsidRDefault="0020395C">
      <w:pPr>
        <w:spacing w:before="240" w:after="0"/>
        <w:rPr>
          <w:b/>
          <w:bCs/>
          <w:color w:val="104F75"/>
          <w:sz w:val="28"/>
          <w:szCs w:val="28"/>
        </w:rPr>
      </w:pPr>
    </w:p>
    <w:p w14:paraId="2A7D5541" w14:textId="17D96C31" w:rsidR="00E66558" w:rsidRDefault="009D71E8" w:rsidP="00120AB1">
      <w:r>
        <w:rPr>
          <w:b/>
          <w:bCs/>
          <w:color w:val="104F75"/>
          <w:sz w:val="28"/>
          <w:szCs w:val="28"/>
        </w:rPr>
        <w:t xml:space="preserve">Total budgeted cost: £ </w:t>
      </w:r>
      <w:r w:rsidR="0020395C">
        <w:rPr>
          <w:i/>
          <w:iCs/>
          <w:color w:val="104F75"/>
          <w:sz w:val="28"/>
          <w:szCs w:val="28"/>
        </w:rPr>
        <w:t>68,175</w:t>
      </w:r>
    </w:p>
    <w:p w14:paraId="2A7D5542" w14:textId="18352EC3" w:rsidR="00E66558" w:rsidRPr="00064366" w:rsidRDefault="009D71E8" w:rsidP="00064366">
      <w:pPr>
        <w:pStyle w:val="Heading1"/>
      </w:pPr>
      <w:r w:rsidRPr="00064366">
        <w:lastRenderedPageBreak/>
        <w:t>Part B: Review of the previous academic year</w:t>
      </w:r>
    </w:p>
    <w:p w14:paraId="4E072743" w14:textId="037A0BD0" w:rsidR="0020395C" w:rsidRPr="0020395C" w:rsidRDefault="00064366" w:rsidP="0020395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20395C">
        <w:trPr>
          <w:trHeight w:val="2447"/>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26130" w14:textId="32789DEE" w:rsidR="0020395C" w:rsidRDefault="0020395C" w:rsidP="00242093">
            <w:pPr>
              <w:spacing w:before="60"/>
              <w:rPr>
                <w:color w:val="000000"/>
                <w:sz w:val="22"/>
                <w:szCs w:val="27"/>
              </w:rPr>
            </w:pPr>
            <w:r w:rsidRPr="0020395C">
              <w:rPr>
                <w:color w:val="000000"/>
                <w:sz w:val="22"/>
                <w:szCs w:val="27"/>
              </w:rPr>
              <w:t xml:space="preserve">We have analysed the performance of our school’s disadvantaged pupils during the previous academic year, drawing on national assessment data and our own internal summative and formative assessments. </w:t>
            </w:r>
          </w:p>
          <w:p w14:paraId="713E8C23" w14:textId="77777777" w:rsidR="0020395C" w:rsidRDefault="0020395C" w:rsidP="00242093">
            <w:pPr>
              <w:spacing w:before="60"/>
              <w:rPr>
                <w:color w:val="000000"/>
                <w:sz w:val="22"/>
                <w:szCs w:val="27"/>
              </w:rPr>
            </w:pPr>
            <w:r w:rsidRPr="0020395C">
              <w:rPr>
                <w:color w:val="000000"/>
                <w:sz w:val="22"/>
                <w:szCs w:val="27"/>
              </w:rPr>
              <w:t>To help us gauge the performance of our disadvantaged pupils we compared their results to those for disadvantaged and non-disadvantaged pupils at national and local level and to results achieved by our non-disadvantaged pupils</w:t>
            </w:r>
            <w:r>
              <w:rPr>
                <w:color w:val="000000"/>
                <w:sz w:val="22"/>
                <w:szCs w:val="27"/>
              </w:rPr>
              <w:t xml:space="preserve">. </w:t>
            </w:r>
          </w:p>
          <w:p w14:paraId="0C34CAE3" w14:textId="25B807D6" w:rsidR="00840FC0" w:rsidRDefault="00840FC0" w:rsidP="00242093">
            <w:pPr>
              <w:spacing w:before="60"/>
              <w:rPr>
                <w:color w:val="000000"/>
                <w:sz w:val="22"/>
                <w:szCs w:val="27"/>
              </w:rPr>
            </w:pPr>
            <w:r>
              <w:rPr>
                <w:color w:val="000000"/>
                <w:sz w:val="22"/>
                <w:szCs w:val="27"/>
              </w:rPr>
              <w:t xml:space="preserve">There was a rise in all percentage for disadvantaged children from the previous academic year in KS1 (2023/2024) </w:t>
            </w:r>
          </w:p>
          <w:p w14:paraId="6D02BD66" w14:textId="080FAA5C" w:rsidR="00840FC0" w:rsidRDefault="00840FC0" w:rsidP="00242093">
            <w:pPr>
              <w:spacing w:before="60"/>
              <w:rPr>
                <w:color w:val="000000"/>
                <w:sz w:val="22"/>
                <w:szCs w:val="27"/>
              </w:rPr>
            </w:pPr>
            <w:r>
              <w:rPr>
                <w:color w:val="000000"/>
                <w:sz w:val="22"/>
                <w:szCs w:val="27"/>
              </w:rPr>
              <w:t xml:space="preserve">There was a 4% rise in Maths for PP children from the previous academic year (2023/2024) </w:t>
            </w:r>
          </w:p>
          <w:p w14:paraId="5023926C" w14:textId="5ED0D2D3" w:rsidR="00840FC0" w:rsidRPr="00840FC0" w:rsidRDefault="00840FC0" w:rsidP="00242093">
            <w:pPr>
              <w:spacing w:before="60"/>
              <w:rPr>
                <w:color w:val="000000"/>
                <w:sz w:val="22"/>
                <w:szCs w:val="27"/>
              </w:rPr>
            </w:pPr>
            <w:r>
              <w:rPr>
                <w:color w:val="000000"/>
                <w:sz w:val="22"/>
                <w:szCs w:val="27"/>
              </w:rPr>
              <w:t xml:space="preserve"> </w:t>
            </w:r>
          </w:p>
        </w:tc>
      </w:tr>
    </w:tbl>
    <w:tbl>
      <w:tblPr>
        <w:tblStyle w:val="TableGrid"/>
        <w:tblW w:w="0" w:type="auto"/>
        <w:tblLook w:val="04A0" w:firstRow="1" w:lastRow="0" w:firstColumn="1" w:lastColumn="0" w:noHBand="0" w:noVBand="1"/>
      </w:tblPr>
      <w:tblGrid>
        <w:gridCol w:w="2371"/>
        <w:gridCol w:w="2371"/>
        <w:gridCol w:w="2372"/>
        <w:gridCol w:w="2372"/>
      </w:tblGrid>
      <w:tr w:rsidR="0020395C" w14:paraId="5DCD5EA4" w14:textId="77777777" w:rsidTr="00CD02D7">
        <w:tc>
          <w:tcPr>
            <w:tcW w:w="2371" w:type="dxa"/>
            <w:shd w:val="clear" w:color="auto" w:fill="B8CCE4" w:themeFill="accent1" w:themeFillTint="66"/>
          </w:tcPr>
          <w:p w14:paraId="5E7BE545" w14:textId="3C4A4457" w:rsidR="0020395C" w:rsidRPr="007E7766" w:rsidRDefault="0020395C" w:rsidP="0020395C">
            <w:pPr>
              <w:jc w:val="center"/>
              <w:rPr>
                <w:b/>
                <w:sz w:val="22"/>
              </w:rPr>
            </w:pPr>
            <w:r w:rsidRPr="007E7766">
              <w:rPr>
                <w:b/>
                <w:color w:val="000000"/>
                <w:sz w:val="22"/>
                <w:szCs w:val="27"/>
              </w:rPr>
              <w:t>KS1 data (all year groups) 202</w:t>
            </w:r>
            <w:r>
              <w:rPr>
                <w:b/>
                <w:color w:val="000000"/>
                <w:sz w:val="22"/>
                <w:szCs w:val="27"/>
              </w:rPr>
              <w:t>4</w:t>
            </w:r>
            <w:r w:rsidRPr="007E7766">
              <w:rPr>
                <w:b/>
                <w:color w:val="000000"/>
                <w:sz w:val="22"/>
                <w:szCs w:val="27"/>
              </w:rPr>
              <w:t xml:space="preserve"> – 202</w:t>
            </w:r>
            <w:r>
              <w:rPr>
                <w:b/>
                <w:color w:val="000000"/>
                <w:sz w:val="22"/>
                <w:szCs w:val="27"/>
              </w:rPr>
              <w:t>5</w:t>
            </w:r>
          </w:p>
        </w:tc>
        <w:tc>
          <w:tcPr>
            <w:tcW w:w="2371" w:type="dxa"/>
            <w:shd w:val="clear" w:color="auto" w:fill="B8CCE4" w:themeFill="accent1" w:themeFillTint="66"/>
          </w:tcPr>
          <w:p w14:paraId="52175F82" w14:textId="77777777" w:rsidR="0020395C" w:rsidRPr="007E7766" w:rsidRDefault="0020395C" w:rsidP="0020395C">
            <w:pPr>
              <w:jc w:val="center"/>
              <w:rPr>
                <w:b/>
                <w:sz w:val="22"/>
              </w:rPr>
            </w:pPr>
            <w:r w:rsidRPr="007E7766">
              <w:rPr>
                <w:b/>
                <w:color w:val="000000"/>
                <w:sz w:val="22"/>
                <w:szCs w:val="27"/>
              </w:rPr>
              <w:t>Attainment: Wheelock children eligible for PPG</w:t>
            </w:r>
          </w:p>
        </w:tc>
        <w:tc>
          <w:tcPr>
            <w:tcW w:w="2372" w:type="dxa"/>
            <w:shd w:val="clear" w:color="auto" w:fill="B8CCE4" w:themeFill="accent1" w:themeFillTint="66"/>
          </w:tcPr>
          <w:p w14:paraId="65B7D717" w14:textId="77777777" w:rsidR="0020395C" w:rsidRPr="007E7766" w:rsidRDefault="0020395C" w:rsidP="0020395C">
            <w:pPr>
              <w:jc w:val="center"/>
              <w:rPr>
                <w:b/>
                <w:sz w:val="22"/>
              </w:rPr>
            </w:pPr>
            <w:r w:rsidRPr="007E7766">
              <w:rPr>
                <w:b/>
                <w:color w:val="000000"/>
                <w:sz w:val="22"/>
                <w:szCs w:val="27"/>
              </w:rPr>
              <w:t>Attainment: Wheelock children not eligible for PPG</w:t>
            </w:r>
          </w:p>
        </w:tc>
        <w:tc>
          <w:tcPr>
            <w:tcW w:w="2372" w:type="dxa"/>
            <w:shd w:val="clear" w:color="auto" w:fill="B8CCE4" w:themeFill="accent1" w:themeFillTint="66"/>
          </w:tcPr>
          <w:p w14:paraId="58C37787" w14:textId="77777777" w:rsidR="0020395C" w:rsidRPr="007E7766" w:rsidRDefault="0020395C" w:rsidP="0020395C">
            <w:pPr>
              <w:jc w:val="center"/>
              <w:rPr>
                <w:b/>
                <w:sz w:val="22"/>
              </w:rPr>
            </w:pPr>
            <w:r w:rsidRPr="007E7766">
              <w:rPr>
                <w:b/>
                <w:color w:val="000000"/>
                <w:sz w:val="22"/>
                <w:szCs w:val="27"/>
              </w:rPr>
              <w:t>Attainment: All children</w:t>
            </w:r>
          </w:p>
        </w:tc>
      </w:tr>
      <w:tr w:rsidR="0020395C" w14:paraId="5F693DAB" w14:textId="77777777" w:rsidTr="00CD02D7">
        <w:tc>
          <w:tcPr>
            <w:tcW w:w="2371" w:type="dxa"/>
            <w:shd w:val="clear" w:color="auto" w:fill="B8CCE4" w:themeFill="accent1" w:themeFillTint="66"/>
          </w:tcPr>
          <w:p w14:paraId="2AB4A94C" w14:textId="77777777" w:rsidR="0020395C" w:rsidRPr="007E7766" w:rsidRDefault="0020395C" w:rsidP="00CD02D7">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reading, writing and maths</w:t>
            </w:r>
          </w:p>
        </w:tc>
        <w:tc>
          <w:tcPr>
            <w:tcW w:w="2371" w:type="dxa"/>
          </w:tcPr>
          <w:p w14:paraId="6FCF9BC7" w14:textId="1639A398" w:rsidR="0020395C" w:rsidRPr="007E7766" w:rsidRDefault="009F1FD2" w:rsidP="00CD02D7">
            <w:pPr>
              <w:rPr>
                <w:sz w:val="22"/>
              </w:rPr>
            </w:pPr>
            <w:r>
              <w:rPr>
                <w:sz w:val="22"/>
              </w:rPr>
              <w:t>45% (5/11</w:t>
            </w:r>
            <w:r w:rsidR="00840FC0">
              <w:rPr>
                <w:sz w:val="22"/>
              </w:rPr>
              <w:t>)</w:t>
            </w:r>
          </w:p>
        </w:tc>
        <w:tc>
          <w:tcPr>
            <w:tcW w:w="2372" w:type="dxa"/>
          </w:tcPr>
          <w:p w14:paraId="0A9812F6" w14:textId="03974622" w:rsidR="0020395C" w:rsidRPr="007E7766" w:rsidRDefault="00840FC0" w:rsidP="00CD02D7">
            <w:pPr>
              <w:rPr>
                <w:sz w:val="22"/>
              </w:rPr>
            </w:pPr>
            <w:r>
              <w:rPr>
                <w:sz w:val="22"/>
              </w:rPr>
              <w:t>73% (76/103)</w:t>
            </w:r>
          </w:p>
        </w:tc>
        <w:tc>
          <w:tcPr>
            <w:tcW w:w="2372" w:type="dxa"/>
          </w:tcPr>
          <w:p w14:paraId="071C2FFA" w14:textId="2DE8599D" w:rsidR="0020395C" w:rsidRPr="007E7766" w:rsidRDefault="00840FC0" w:rsidP="00CD02D7">
            <w:pPr>
              <w:rPr>
                <w:sz w:val="22"/>
              </w:rPr>
            </w:pPr>
            <w:r>
              <w:rPr>
                <w:sz w:val="22"/>
              </w:rPr>
              <w:t>71% (81/114)</w:t>
            </w:r>
          </w:p>
        </w:tc>
      </w:tr>
      <w:tr w:rsidR="0020395C" w14:paraId="5A74D2E5" w14:textId="77777777" w:rsidTr="00CD02D7">
        <w:tc>
          <w:tcPr>
            <w:tcW w:w="2371" w:type="dxa"/>
            <w:shd w:val="clear" w:color="auto" w:fill="B8CCE4" w:themeFill="accent1" w:themeFillTint="66"/>
          </w:tcPr>
          <w:p w14:paraId="636FBDA2" w14:textId="77777777" w:rsidR="0020395C" w:rsidRPr="007E7766" w:rsidRDefault="0020395C" w:rsidP="00CD02D7">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reading</w:t>
            </w:r>
          </w:p>
        </w:tc>
        <w:tc>
          <w:tcPr>
            <w:tcW w:w="2371" w:type="dxa"/>
          </w:tcPr>
          <w:p w14:paraId="50CADB00" w14:textId="63140EF3" w:rsidR="0020395C" w:rsidRPr="007E7766" w:rsidRDefault="009F1FD2" w:rsidP="00CD02D7">
            <w:pPr>
              <w:rPr>
                <w:sz w:val="22"/>
              </w:rPr>
            </w:pPr>
            <w:r>
              <w:rPr>
                <w:sz w:val="22"/>
              </w:rPr>
              <w:t>45% (5/11)</w:t>
            </w:r>
          </w:p>
        </w:tc>
        <w:tc>
          <w:tcPr>
            <w:tcW w:w="2372" w:type="dxa"/>
          </w:tcPr>
          <w:p w14:paraId="11405F1A" w14:textId="76423B6D" w:rsidR="0020395C" w:rsidRPr="007E7766" w:rsidRDefault="00840FC0" w:rsidP="00CD02D7">
            <w:pPr>
              <w:rPr>
                <w:sz w:val="22"/>
              </w:rPr>
            </w:pPr>
            <w:r>
              <w:rPr>
                <w:sz w:val="22"/>
              </w:rPr>
              <w:t xml:space="preserve">76% (79/103) </w:t>
            </w:r>
          </w:p>
        </w:tc>
        <w:tc>
          <w:tcPr>
            <w:tcW w:w="2372" w:type="dxa"/>
          </w:tcPr>
          <w:p w14:paraId="6D8D2296" w14:textId="5D7336C0" w:rsidR="0020395C" w:rsidRPr="007E7766" w:rsidRDefault="00840FC0" w:rsidP="00CD02D7">
            <w:pPr>
              <w:rPr>
                <w:sz w:val="22"/>
              </w:rPr>
            </w:pPr>
            <w:r>
              <w:rPr>
                <w:sz w:val="22"/>
              </w:rPr>
              <w:t>73% (84/114)</w:t>
            </w:r>
          </w:p>
        </w:tc>
      </w:tr>
      <w:tr w:rsidR="0020395C" w14:paraId="67C10747" w14:textId="77777777" w:rsidTr="00CD02D7">
        <w:tc>
          <w:tcPr>
            <w:tcW w:w="2371" w:type="dxa"/>
            <w:shd w:val="clear" w:color="auto" w:fill="B8CCE4" w:themeFill="accent1" w:themeFillTint="66"/>
          </w:tcPr>
          <w:p w14:paraId="4ECB8584" w14:textId="77777777" w:rsidR="0020395C" w:rsidRPr="007E7766" w:rsidRDefault="0020395C" w:rsidP="00CD02D7">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writing</w:t>
            </w:r>
          </w:p>
        </w:tc>
        <w:tc>
          <w:tcPr>
            <w:tcW w:w="2371" w:type="dxa"/>
          </w:tcPr>
          <w:p w14:paraId="70CDE920" w14:textId="6163E41A" w:rsidR="0020395C" w:rsidRPr="007E7766" w:rsidRDefault="009F1FD2" w:rsidP="00CD02D7">
            <w:pPr>
              <w:rPr>
                <w:sz w:val="22"/>
              </w:rPr>
            </w:pPr>
            <w:r>
              <w:rPr>
                <w:sz w:val="22"/>
              </w:rPr>
              <w:t>45% (5/11)</w:t>
            </w:r>
          </w:p>
        </w:tc>
        <w:tc>
          <w:tcPr>
            <w:tcW w:w="2372" w:type="dxa"/>
          </w:tcPr>
          <w:p w14:paraId="2675581A" w14:textId="21E1FB71" w:rsidR="0020395C" w:rsidRPr="007E7766" w:rsidRDefault="00840FC0" w:rsidP="00CD02D7">
            <w:pPr>
              <w:rPr>
                <w:sz w:val="22"/>
              </w:rPr>
            </w:pPr>
            <w:r>
              <w:rPr>
                <w:sz w:val="22"/>
              </w:rPr>
              <w:t>74% (77/103)</w:t>
            </w:r>
          </w:p>
        </w:tc>
        <w:tc>
          <w:tcPr>
            <w:tcW w:w="2372" w:type="dxa"/>
          </w:tcPr>
          <w:p w14:paraId="7EC1B170" w14:textId="35223C6E" w:rsidR="0020395C" w:rsidRPr="007E7766" w:rsidRDefault="00840FC0" w:rsidP="00CD02D7">
            <w:pPr>
              <w:rPr>
                <w:sz w:val="22"/>
              </w:rPr>
            </w:pPr>
            <w:r>
              <w:rPr>
                <w:sz w:val="22"/>
              </w:rPr>
              <w:t>71% (82/114)</w:t>
            </w:r>
          </w:p>
        </w:tc>
      </w:tr>
      <w:tr w:rsidR="0020395C" w14:paraId="32D08642" w14:textId="77777777" w:rsidTr="00CD02D7">
        <w:tc>
          <w:tcPr>
            <w:tcW w:w="2371" w:type="dxa"/>
            <w:shd w:val="clear" w:color="auto" w:fill="B8CCE4" w:themeFill="accent1" w:themeFillTint="66"/>
          </w:tcPr>
          <w:p w14:paraId="734116B7" w14:textId="77777777" w:rsidR="0020395C" w:rsidRPr="007E7766" w:rsidRDefault="0020395C" w:rsidP="00CD02D7">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maths</w:t>
            </w:r>
          </w:p>
        </w:tc>
        <w:tc>
          <w:tcPr>
            <w:tcW w:w="2371" w:type="dxa"/>
          </w:tcPr>
          <w:p w14:paraId="23116836" w14:textId="27AC7B36" w:rsidR="0020395C" w:rsidRPr="007E7766" w:rsidRDefault="009F1FD2" w:rsidP="00CD02D7">
            <w:pPr>
              <w:rPr>
                <w:sz w:val="22"/>
              </w:rPr>
            </w:pPr>
            <w:r>
              <w:rPr>
                <w:sz w:val="22"/>
              </w:rPr>
              <w:t xml:space="preserve">72% (8/11) </w:t>
            </w:r>
          </w:p>
        </w:tc>
        <w:tc>
          <w:tcPr>
            <w:tcW w:w="2372" w:type="dxa"/>
          </w:tcPr>
          <w:p w14:paraId="6DD7B1A9" w14:textId="7A165A8A" w:rsidR="0020395C" w:rsidRPr="007E7766" w:rsidRDefault="00840FC0" w:rsidP="00CD02D7">
            <w:pPr>
              <w:rPr>
                <w:sz w:val="22"/>
              </w:rPr>
            </w:pPr>
            <w:r>
              <w:rPr>
                <w:sz w:val="22"/>
              </w:rPr>
              <w:t xml:space="preserve">87% (90/103) </w:t>
            </w:r>
          </w:p>
        </w:tc>
        <w:tc>
          <w:tcPr>
            <w:tcW w:w="2372" w:type="dxa"/>
          </w:tcPr>
          <w:p w14:paraId="06C79CA1" w14:textId="222A398B" w:rsidR="0020395C" w:rsidRPr="007E7766" w:rsidRDefault="00840FC0" w:rsidP="00CD02D7">
            <w:pPr>
              <w:rPr>
                <w:sz w:val="22"/>
              </w:rPr>
            </w:pPr>
            <w:r>
              <w:rPr>
                <w:sz w:val="22"/>
              </w:rPr>
              <w:t xml:space="preserve">85% (98/114) </w:t>
            </w:r>
          </w:p>
        </w:tc>
      </w:tr>
      <w:tr w:rsidR="0020395C" w14:paraId="46E8A634" w14:textId="77777777" w:rsidTr="009F1FD2">
        <w:tc>
          <w:tcPr>
            <w:tcW w:w="2371" w:type="dxa"/>
            <w:shd w:val="clear" w:color="auto" w:fill="C6D9F1" w:themeFill="text2" w:themeFillTint="33"/>
          </w:tcPr>
          <w:p w14:paraId="476DD9EC" w14:textId="77777777" w:rsidR="009F1FD2" w:rsidRDefault="009F1FD2" w:rsidP="009F1FD2">
            <w:pPr>
              <w:jc w:val="center"/>
              <w:rPr>
                <w:b/>
                <w:color w:val="000000"/>
                <w:sz w:val="22"/>
                <w:szCs w:val="27"/>
              </w:rPr>
            </w:pPr>
          </w:p>
          <w:p w14:paraId="1997341A" w14:textId="065D6163" w:rsidR="0020395C" w:rsidRPr="007E7766" w:rsidRDefault="0020395C" w:rsidP="009F1FD2">
            <w:pPr>
              <w:jc w:val="center"/>
              <w:rPr>
                <w:b/>
                <w:sz w:val="22"/>
              </w:rPr>
            </w:pPr>
            <w:r w:rsidRPr="007E7766">
              <w:rPr>
                <w:b/>
                <w:color w:val="000000"/>
                <w:sz w:val="22"/>
                <w:szCs w:val="27"/>
              </w:rPr>
              <w:t>KS</w:t>
            </w:r>
            <w:r>
              <w:rPr>
                <w:b/>
                <w:color w:val="000000"/>
                <w:sz w:val="22"/>
                <w:szCs w:val="27"/>
              </w:rPr>
              <w:t>2</w:t>
            </w:r>
            <w:r w:rsidRPr="007E7766">
              <w:rPr>
                <w:b/>
                <w:color w:val="000000"/>
                <w:sz w:val="22"/>
                <w:szCs w:val="27"/>
              </w:rPr>
              <w:t xml:space="preserve"> data (all year groups) 202</w:t>
            </w:r>
            <w:r>
              <w:rPr>
                <w:b/>
                <w:color w:val="000000"/>
                <w:sz w:val="22"/>
                <w:szCs w:val="27"/>
              </w:rPr>
              <w:t>3</w:t>
            </w:r>
            <w:r w:rsidRPr="007E7766">
              <w:rPr>
                <w:b/>
                <w:color w:val="000000"/>
                <w:sz w:val="22"/>
                <w:szCs w:val="27"/>
              </w:rPr>
              <w:t xml:space="preserve"> – 202</w:t>
            </w:r>
            <w:r>
              <w:rPr>
                <w:b/>
                <w:color w:val="000000"/>
                <w:sz w:val="22"/>
                <w:szCs w:val="27"/>
              </w:rPr>
              <w:t>4</w:t>
            </w:r>
          </w:p>
        </w:tc>
        <w:tc>
          <w:tcPr>
            <w:tcW w:w="2371" w:type="dxa"/>
            <w:shd w:val="clear" w:color="auto" w:fill="C6D9F1" w:themeFill="text2" w:themeFillTint="33"/>
          </w:tcPr>
          <w:p w14:paraId="3959542B" w14:textId="77777777" w:rsidR="009F1FD2" w:rsidRDefault="009F1FD2" w:rsidP="009F1FD2">
            <w:pPr>
              <w:jc w:val="center"/>
              <w:rPr>
                <w:b/>
                <w:color w:val="000000"/>
                <w:sz w:val="22"/>
                <w:szCs w:val="27"/>
              </w:rPr>
            </w:pPr>
          </w:p>
          <w:p w14:paraId="58B67AAC" w14:textId="5C4E0D19" w:rsidR="0020395C" w:rsidRPr="007E7766" w:rsidRDefault="0020395C" w:rsidP="009F1FD2">
            <w:pPr>
              <w:jc w:val="center"/>
              <w:rPr>
                <w:b/>
                <w:sz w:val="22"/>
              </w:rPr>
            </w:pPr>
            <w:r w:rsidRPr="007E7766">
              <w:rPr>
                <w:b/>
                <w:color w:val="000000"/>
                <w:sz w:val="22"/>
                <w:szCs w:val="27"/>
              </w:rPr>
              <w:t>Attainment: Wheelock children eligible for PPG</w:t>
            </w:r>
          </w:p>
        </w:tc>
        <w:tc>
          <w:tcPr>
            <w:tcW w:w="2372" w:type="dxa"/>
            <w:shd w:val="clear" w:color="auto" w:fill="C6D9F1" w:themeFill="text2" w:themeFillTint="33"/>
          </w:tcPr>
          <w:p w14:paraId="75C583E3" w14:textId="77777777" w:rsidR="009F1FD2" w:rsidRDefault="009F1FD2" w:rsidP="009F1FD2">
            <w:pPr>
              <w:jc w:val="center"/>
              <w:rPr>
                <w:b/>
                <w:color w:val="000000"/>
                <w:sz w:val="22"/>
                <w:szCs w:val="27"/>
              </w:rPr>
            </w:pPr>
          </w:p>
          <w:p w14:paraId="6B8CFF49" w14:textId="32FED887" w:rsidR="0020395C" w:rsidRPr="007E7766" w:rsidRDefault="0020395C" w:rsidP="009F1FD2">
            <w:pPr>
              <w:jc w:val="center"/>
              <w:rPr>
                <w:b/>
                <w:sz w:val="22"/>
              </w:rPr>
            </w:pPr>
            <w:r w:rsidRPr="007E7766">
              <w:rPr>
                <w:b/>
                <w:color w:val="000000"/>
                <w:sz w:val="22"/>
                <w:szCs w:val="27"/>
              </w:rPr>
              <w:t>Attainment: Wheelock children not eligible for PPG</w:t>
            </w:r>
          </w:p>
        </w:tc>
        <w:tc>
          <w:tcPr>
            <w:tcW w:w="2372" w:type="dxa"/>
            <w:shd w:val="clear" w:color="auto" w:fill="C6D9F1" w:themeFill="text2" w:themeFillTint="33"/>
          </w:tcPr>
          <w:p w14:paraId="7C8F6196" w14:textId="77777777" w:rsidR="009F1FD2" w:rsidRDefault="009F1FD2" w:rsidP="009F1FD2">
            <w:pPr>
              <w:jc w:val="center"/>
              <w:rPr>
                <w:b/>
                <w:color w:val="000000"/>
                <w:sz w:val="22"/>
                <w:szCs w:val="27"/>
              </w:rPr>
            </w:pPr>
          </w:p>
          <w:p w14:paraId="1B2A7574" w14:textId="35619B4B" w:rsidR="0020395C" w:rsidRPr="007E7766" w:rsidRDefault="0020395C" w:rsidP="009F1FD2">
            <w:pPr>
              <w:jc w:val="center"/>
              <w:rPr>
                <w:b/>
                <w:sz w:val="22"/>
              </w:rPr>
            </w:pPr>
            <w:r w:rsidRPr="007E7766">
              <w:rPr>
                <w:b/>
                <w:color w:val="000000"/>
                <w:sz w:val="22"/>
                <w:szCs w:val="27"/>
              </w:rPr>
              <w:t>Attainment: All children</w:t>
            </w:r>
          </w:p>
        </w:tc>
      </w:tr>
      <w:tr w:rsidR="0020395C" w14:paraId="21C5C9D2" w14:textId="77777777" w:rsidTr="0020395C">
        <w:tc>
          <w:tcPr>
            <w:tcW w:w="2371" w:type="dxa"/>
          </w:tcPr>
          <w:p w14:paraId="663CE22B" w14:textId="77777777" w:rsidR="0020395C" w:rsidRPr="007E7766" w:rsidRDefault="0020395C" w:rsidP="00CD02D7">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reading, writing and maths</w:t>
            </w:r>
          </w:p>
        </w:tc>
        <w:tc>
          <w:tcPr>
            <w:tcW w:w="2371" w:type="dxa"/>
          </w:tcPr>
          <w:p w14:paraId="48BD7E30" w14:textId="3900B510" w:rsidR="0020395C" w:rsidRPr="007E7766" w:rsidRDefault="009F1FD2" w:rsidP="00CD02D7">
            <w:pPr>
              <w:rPr>
                <w:sz w:val="22"/>
              </w:rPr>
            </w:pPr>
            <w:r>
              <w:rPr>
                <w:sz w:val="22"/>
              </w:rPr>
              <w:t xml:space="preserve">28% (9/32) </w:t>
            </w:r>
          </w:p>
        </w:tc>
        <w:tc>
          <w:tcPr>
            <w:tcW w:w="2372" w:type="dxa"/>
          </w:tcPr>
          <w:p w14:paraId="289EC6DD" w14:textId="5A566861" w:rsidR="0020395C" w:rsidRPr="007E7766" w:rsidRDefault="00840FC0" w:rsidP="00CD02D7">
            <w:pPr>
              <w:rPr>
                <w:sz w:val="22"/>
              </w:rPr>
            </w:pPr>
            <w:r>
              <w:rPr>
                <w:sz w:val="22"/>
              </w:rPr>
              <w:t>59% (111/188)</w:t>
            </w:r>
          </w:p>
        </w:tc>
        <w:tc>
          <w:tcPr>
            <w:tcW w:w="2372" w:type="dxa"/>
          </w:tcPr>
          <w:p w14:paraId="6E3FD470" w14:textId="187C80BE" w:rsidR="0020395C" w:rsidRPr="007E7766" w:rsidRDefault="00840FC0" w:rsidP="00CD02D7">
            <w:pPr>
              <w:rPr>
                <w:sz w:val="22"/>
              </w:rPr>
            </w:pPr>
            <w:r>
              <w:rPr>
                <w:sz w:val="22"/>
              </w:rPr>
              <w:t>54% (120/220)</w:t>
            </w:r>
          </w:p>
        </w:tc>
      </w:tr>
      <w:tr w:rsidR="0020395C" w14:paraId="7FCB0BA7" w14:textId="77777777" w:rsidTr="0020395C">
        <w:tc>
          <w:tcPr>
            <w:tcW w:w="2371" w:type="dxa"/>
          </w:tcPr>
          <w:p w14:paraId="3BDC3DF4" w14:textId="77777777" w:rsidR="0020395C" w:rsidRPr="007E7766" w:rsidRDefault="0020395C" w:rsidP="00CD02D7">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reading</w:t>
            </w:r>
          </w:p>
        </w:tc>
        <w:tc>
          <w:tcPr>
            <w:tcW w:w="2371" w:type="dxa"/>
          </w:tcPr>
          <w:p w14:paraId="0B418A1E" w14:textId="03F6D48F" w:rsidR="0020395C" w:rsidRPr="007E7766" w:rsidRDefault="00840FC0" w:rsidP="00CD02D7">
            <w:pPr>
              <w:rPr>
                <w:sz w:val="22"/>
              </w:rPr>
            </w:pPr>
            <w:r>
              <w:rPr>
                <w:sz w:val="22"/>
              </w:rPr>
              <w:t>40% (13/32)</w:t>
            </w:r>
          </w:p>
        </w:tc>
        <w:tc>
          <w:tcPr>
            <w:tcW w:w="2372" w:type="dxa"/>
          </w:tcPr>
          <w:p w14:paraId="6C5C5785" w14:textId="4C288B50" w:rsidR="0020395C" w:rsidRPr="007E7766" w:rsidRDefault="00840FC0" w:rsidP="00CD02D7">
            <w:pPr>
              <w:rPr>
                <w:sz w:val="22"/>
              </w:rPr>
            </w:pPr>
            <w:r>
              <w:rPr>
                <w:sz w:val="22"/>
              </w:rPr>
              <w:t>72% (137/188)</w:t>
            </w:r>
          </w:p>
        </w:tc>
        <w:tc>
          <w:tcPr>
            <w:tcW w:w="2372" w:type="dxa"/>
          </w:tcPr>
          <w:p w14:paraId="2D96731E" w14:textId="3D8FE9BF" w:rsidR="0020395C" w:rsidRPr="007E7766" w:rsidRDefault="00840FC0" w:rsidP="00CD02D7">
            <w:pPr>
              <w:rPr>
                <w:sz w:val="22"/>
              </w:rPr>
            </w:pPr>
            <w:r>
              <w:rPr>
                <w:sz w:val="22"/>
              </w:rPr>
              <w:t xml:space="preserve">68% (150/220) </w:t>
            </w:r>
          </w:p>
        </w:tc>
      </w:tr>
      <w:tr w:rsidR="0020395C" w14:paraId="22B7B875" w14:textId="77777777" w:rsidTr="0020395C">
        <w:tc>
          <w:tcPr>
            <w:tcW w:w="2371" w:type="dxa"/>
          </w:tcPr>
          <w:p w14:paraId="2B8B09FE" w14:textId="77777777" w:rsidR="0020395C" w:rsidRPr="007E7766" w:rsidRDefault="0020395C" w:rsidP="00CD02D7">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writing</w:t>
            </w:r>
          </w:p>
        </w:tc>
        <w:tc>
          <w:tcPr>
            <w:tcW w:w="2371" w:type="dxa"/>
          </w:tcPr>
          <w:p w14:paraId="100B26B9" w14:textId="4AB98CC1" w:rsidR="0020395C" w:rsidRPr="007E7766" w:rsidRDefault="00840FC0" w:rsidP="00CD02D7">
            <w:pPr>
              <w:rPr>
                <w:sz w:val="22"/>
              </w:rPr>
            </w:pPr>
            <w:r>
              <w:rPr>
                <w:sz w:val="22"/>
              </w:rPr>
              <w:t>31% (10/32)</w:t>
            </w:r>
          </w:p>
        </w:tc>
        <w:tc>
          <w:tcPr>
            <w:tcW w:w="2372" w:type="dxa"/>
          </w:tcPr>
          <w:p w14:paraId="16D94BB2" w14:textId="396BBFC2" w:rsidR="0020395C" w:rsidRPr="007E7766" w:rsidRDefault="00840FC0" w:rsidP="00CD02D7">
            <w:pPr>
              <w:rPr>
                <w:sz w:val="22"/>
              </w:rPr>
            </w:pPr>
            <w:r>
              <w:rPr>
                <w:sz w:val="22"/>
              </w:rPr>
              <w:t>63% (119/188)</w:t>
            </w:r>
          </w:p>
        </w:tc>
        <w:tc>
          <w:tcPr>
            <w:tcW w:w="2372" w:type="dxa"/>
          </w:tcPr>
          <w:p w14:paraId="29399FE4" w14:textId="631B134A" w:rsidR="0020395C" w:rsidRPr="007E7766" w:rsidRDefault="00840FC0" w:rsidP="00CD02D7">
            <w:pPr>
              <w:rPr>
                <w:sz w:val="22"/>
              </w:rPr>
            </w:pPr>
            <w:r>
              <w:rPr>
                <w:sz w:val="22"/>
              </w:rPr>
              <w:t xml:space="preserve">58% (129/220) </w:t>
            </w:r>
          </w:p>
        </w:tc>
      </w:tr>
      <w:tr w:rsidR="0020395C" w14:paraId="0CD12817" w14:textId="77777777" w:rsidTr="0020395C">
        <w:tc>
          <w:tcPr>
            <w:tcW w:w="2371" w:type="dxa"/>
          </w:tcPr>
          <w:p w14:paraId="7D2C370B" w14:textId="77777777" w:rsidR="0020395C" w:rsidRPr="007E7766" w:rsidRDefault="0020395C" w:rsidP="00CD02D7">
            <w:pPr>
              <w:pStyle w:val="NormalWeb"/>
              <w:rPr>
                <w:rFonts w:ascii="Arial" w:hAnsi="Arial" w:cs="Arial"/>
                <w:b/>
                <w:color w:val="000000"/>
                <w:sz w:val="20"/>
                <w:szCs w:val="27"/>
              </w:rPr>
            </w:pPr>
            <w:r w:rsidRPr="007E7766">
              <w:rPr>
                <w:rFonts w:ascii="Arial" w:hAnsi="Arial" w:cs="Arial"/>
                <w:b/>
                <w:color w:val="000000"/>
                <w:sz w:val="20"/>
                <w:szCs w:val="27"/>
              </w:rPr>
              <w:t>% achieving expected or higher in maths</w:t>
            </w:r>
          </w:p>
        </w:tc>
        <w:tc>
          <w:tcPr>
            <w:tcW w:w="2371" w:type="dxa"/>
          </w:tcPr>
          <w:p w14:paraId="24489955" w14:textId="5A29F21A" w:rsidR="0020395C" w:rsidRPr="007E7766" w:rsidRDefault="00840FC0" w:rsidP="00CD02D7">
            <w:pPr>
              <w:rPr>
                <w:sz w:val="22"/>
              </w:rPr>
            </w:pPr>
            <w:r>
              <w:rPr>
                <w:sz w:val="22"/>
              </w:rPr>
              <w:t xml:space="preserve">59% (19/32) </w:t>
            </w:r>
          </w:p>
        </w:tc>
        <w:tc>
          <w:tcPr>
            <w:tcW w:w="2372" w:type="dxa"/>
          </w:tcPr>
          <w:p w14:paraId="102F20EE" w14:textId="0C5E921A" w:rsidR="0020395C" w:rsidRPr="007E7766" w:rsidRDefault="00840FC0" w:rsidP="00CD02D7">
            <w:pPr>
              <w:rPr>
                <w:sz w:val="22"/>
              </w:rPr>
            </w:pPr>
            <w:r>
              <w:rPr>
                <w:sz w:val="22"/>
              </w:rPr>
              <w:t>80% (151/188)</w:t>
            </w:r>
          </w:p>
        </w:tc>
        <w:tc>
          <w:tcPr>
            <w:tcW w:w="2372" w:type="dxa"/>
          </w:tcPr>
          <w:p w14:paraId="7B0F1623" w14:textId="46CE781F" w:rsidR="0020395C" w:rsidRPr="007E7766" w:rsidRDefault="00840FC0" w:rsidP="00CD02D7">
            <w:pPr>
              <w:rPr>
                <w:sz w:val="22"/>
              </w:rPr>
            </w:pPr>
            <w:r>
              <w:rPr>
                <w:sz w:val="22"/>
              </w:rPr>
              <w:t>77% (170/220)</w:t>
            </w:r>
          </w:p>
        </w:tc>
      </w:tr>
    </w:tbl>
    <w:p w14:paraId="6B83C990" w14:textId="77777777" w:rsidR="0020395C" w:rsidRDefault="0020395C" w:rsidP="00A82A98">
      <w:pPr>
        <w:pStyle w:val="Heading2"/>
      </w:pPr>
    </w:p>
    <w:p w14:paraId="2A7D5548" w14:textId="163788B2"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0D5FA5EF"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34C7D141" w:rsidR="00ED5108" w:rsidRDefault="00840FC0" w:rsidP="00F54FCB">
            <w:r>
              <w:t xml:space="preserve">Wellbeing </w:t>
            </w:r>
            <w:r w:rsidR="00B3798E">
              <w:t>interventions</w:t>
            </w:r>
            <w:r>
              <w:t xml:space="preserve"> have been provided to support the emotional and SEND needs of service children. </w:t>
            </w:r>
            <w:r w:rsidR="00B3798E">
              <w:t xml:space="preserve">Soft starts (breakfast club) have bee developed to ensure a smooth transition into school. </w:t>
            </w:r>
          </w:p>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0E6A1CF0" w:rsidR="00ED5108" w:rsidRDefault="00B3798E" w:rsidP="00F54FCB">
            <w:r>
              <w:t xml:space="preserve">Teachers and parents have expressed their positive views about the wellbeing of their children, enabling them to thrive and focus on their learning in school. </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5"/>
      <w:bookmarkEnd w:id="16"/>
      <w:bookmarkEnd w:id="17"/>
    </w:tbl>
    <w:p w14:paraId="2A7D5564" w14:textId="77777777" w:rsidR="00E66558" w:rsidRDefault="00E66558"/>
    <w:sectPr w:rsidR="00E66558">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3A1"/>
    <w:multiLevelType w:val="hybridMultilevel"/>
    <w:tmpl w:val="737A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F308D"/>
    <w:multiLevelType w:val="hybridMultilevel"/>
    <w:tmpl w:val="B96C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4"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AE29FD"/>
    <w:multiLevelType w:val="hybridMultilevel"/>
    <w:tmpl w:val="1206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1AB0A1F"/>
    <w:multiLevelType w:val="hybridMultilevel"/>
    <w:tmpl w:val="CC52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8"/>
  </w:num>
  <w:num w:numId="4">
    <w:abstractNumId w:val="9"/>
  </w:num>
  <w:num w:numId="5">
    <w:abstractNumId w:val="2"/>
  </w:num>
  <w:num w:numId="6">
    <w:abstractNumId w:val="11"/>
  </w:num>
  <w:num w:numId="7">
    <w:abstractNumId w:val="15"/>
  </w:num>
  <w:num w:numId="8">
    <w:abstractNumId w:val="20"/>
  </w:num>
  <w:num w:numId="9">
    <w:abstractNumId w:val="17"/>
  </w:num>
  <w:num w:numId="10">
    <w:abstractNumId w:val="16"/>
  </w:num>
  <w:num w:numId="11">
    <w:abstractNumId w:val="6"/>
  </w:num>
  <w:num w:numId="12">
    <w:abstractNumId w:val="18"/>
  </w:num>
  <w:num w:numId="13">
    <w:abstractNumId w:val="14"/>
  </w:num>
  <w:num w:numId="14">
    <w:abstractNumId w:val="12"/>
  </w:num>
  <w:num w:numId="15">
    <w:abstractNumId w:val="4"/>
  </w:num>
  <w:num w:numId="16">
    <w:abstractNumId w:val="3"/>
  </w:num>
  <w:num w:numId="17">
    <w:abstractNumId w:val="13"/>
  </w:num>
  <w:num w:numId="18">
    <w:abstractNumId w:val="0"/>
  </w:num>
  <w:num w:numId="19">
    <w:abstractNumId w:val="1"/>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20E"/>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2530"/>
    <w:rsid w:val="001D4FC9"/>
    <w:rsid w:val="001E0ECA"/>
    <w:rsid w:val="001E206F"/>
    <w:rsid w:val="001E5750"/>
    <w:rsid w:val="001E66BA"/>
    <w:rsid w:val="001E7739"/>
    <w:rsid w:val="001F3DB4"/>
    <w:rsid w:val="001F7564"/>
    <w:rsid w:val="0020395C"/>
    <w:rsid w:val="00203DB9"/>
    <w:rsid w:val="00204F40"/>
    <w:rsid w:val="00205DEF"/>
    <w:rsid w:val="00207DFD"/>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77ACB"/>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167A"/>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0A30"/>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5D5F"/>
    <w:rsid w:val="0061762D"/>
    <w:rsid w:val="00634238"/>
    <w:rsid w:val="00635FBC"/>
    <w:rsid w:val="00636EB5"/>
    <w:rsid w:val="00637728"/>
    <w:rsid w:val="0064113A"/>
    <w:rsid w:val="0064167B"/>
    <w:rsid w:val="006433BF"/>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03A"/>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40FC0"/>
    <w:rsid w:val="00850CA0"/>
    <w:rsid w:val="00852A2F"/>
    <w:rsid w:val="008608EE"/>
    <w:rsid w:val="00860B07"/>
    <w:rsid w:val="008616F6"/>
    <w:rsid w:val="0086259C"/>
    <w:rsid w:val="008674ED"/>
    <w:rsid w:val="0087074C"/>
    <w:rsid w:val="00874913"/>
    <w:rsid w:val="00883F24"/>
    <w:rsid w:val="00893CF2"/>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06FA0"/>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1FD2"/>
    <w:rsid w:val="009F3BBD"/>
    <w:rsid w:val="009F425A"/>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3798E"/>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4E7"/>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A60E6"/>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13FF"/>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115D"/>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rmalWeb">
    <w:name w:val="Normal (Web)"/>
    <w:basedOn w:val="Normal"/>
    <w:uiPriority w:val="99"/>
    <w:unhideWhenUsed/>
    <w:rsid w:val="001D2530"/>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73219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selecting-interventions" TargetMode="External"/><Relationship Id="rId18" Type="http://schemas.openxmlformats.org/officeDocument/2006/relationships/hyperlink" Target="https://www.gl-assessment.co.uk/assessments/products/wellcomm/" TargetMode="External"/><Relationship Id="rId26" Type="http://schemas.openxmlformats.org/officeDocument/2006/relationships/hyperlink" Target="https://educationendowmentfoundation.org.uk/early-years/toolkit/early-numeracy-approache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guidance-reports/selecting-interventions" TargetMode="External"/><Relationship Id="rId34" Type="http://schemas.openxmlformats.org/officeDocument/2006/relationships/fontTable" Target="fontTable.xml"/><Relationship Id="rId7" Type="http://schemas.openxmlformats.org/officeDocument/2006/relationships/hyperlink" Target="https://educationendowmentfoundation.org.uk/education-evidence/using-pupil-premium" TargetMode="External"/><Relationship Id="rId12" Type="http://schemas.openxmlformats.org/officeDocument/2006/relationships/hyperlink" Target="https://assets.publishing.service.gov.uk/media/66e17cc5caa02d92e72c8d54/NPQ_evaluation_interim_report_2.pdf" TargetMode="External"/><Relationship Id="rId17" Type="http://schemas.openxmlformats.org/officeDocument/2006/relationships/hyperlink" Target="https://educationendowmentfoundation.org.uk/news/eef-blog-new-case-studies-making-effective-use-of-diagnostic-assessment" TargetMode="External"/><Relationship Id="rId25" Type="http://schemas.openxmlformats.org/officeDocument/2006/relationships/hyperlink" Target="https://educationendowmentfoundation.org.uk/projects-and-evaluation/projects/mathematics-master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isyon.org.uk/" TargetMode="External"/><Relationship Id="rId20" Type="http://schemas.openxmlformats.org/officeDocument/2006/relationships/hyperlink" Target="https://educationendowmentfoundation.org.uk/education-evidence/teaching-learning-toolkit/phonics" TargetMode="External"/><Relationship Id="rId29" Type="http://schemas.openxmlformats.org/officeDocument/2006/relationships/hyperlink" Target="https://educationendowmentfoundation.org.uk/projects-and-evaluation/projects/magic-breakfa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educationendowmentfoundation.org.uk/education-evidence/guidance-reports/maths-ks-2-3"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ktraumacouncil.org/"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educationendowmentfoundation.org.uk/education-evidence/teaching-learning-toolkit/social-and-emotional-learning" TargetMode="External"/><Relationship Id="rId10" Type="http://schemas.openxmlformats.org/officeDocument/2006/relationships/hyperlink" Target="https://assets.publishing.service.gov.uk/media/65cf69384239310011b7b91f/Using_Pupil_Premium_-_Guidance_for_School_Leaders.pdf" TargetMode="External"/><Relationship Id="rId19" Type="http://schemas.openxmlformats.org/officeDocument/2006/relationships/hyperlink" Target="https://educationendowmentfoundation.org.uk/projects-and-evaluation/projects/accelerated-reader-effectiveness-trial" TargetMode="External"/><Relationship Id="rId31" Type="http://schemas.openxmlformats.org/officeDocument/2006/relationships/hyperlink" Target="https://educationendowmentfoundation.org.uk/education-evidence/teaching-learning-toolkit/physical-activity"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using-pupil-premium" TargetMode="External"/><Relationship Id="rId14" Type="http://schemas.openxmlformats.org/officeDocument/2006/relationships/hyperlink" Target="https://educationendowmentfoundation.org.uk/education-evidence/teaching-learning-toolkit/extending-school-time"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yperlink" Target="https://educationendowmentfoundation.org.uk/education-evidence/teaching-learning-toolkit/social-and-emotional-learning" TargetMode="External"/><Relationship Id="rId35" Type="http://schemas.openxmlformats.org/officeDocument/2006/relationships/theme" Target="theme/theme1.xml"/><Relationship Id="rId8" Type="http://schemas.openxmlformats.org/officeDocument/2006/relationships/hyperlink" Target="https://assets.publishing.service.gov.uk/media/65cf69384239310011b7b91f/Using_Pupil_Premium_-_Guidance_for_School_Lea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356F2DB5</Template>
  <TotalTime>109</TotalTime>
  <Pages>12</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Siobhan Watts</cp:lastModifiedBy>
  <cp:revision>6</cp:revision>
  <cp:lastPrinted>2014-09-18T05:26:00Z</cp:lastPrinted>
  <dcterms:created xsi:type="dcterms:W3CDTF">2025-09-11T12:12:00Z</dcterms:created>
  <dcterms:modified xsi:type="dcterms:W3CDTF">2025-09-12T11:22:00Z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