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047C02A" w:rsidR="00E66558" w:rsidRDefault="00E715A2">
      <w:pPr>
        <w:pStyle w:val="Heading1"/>
      </w:pPr>
      <w:bookmarkStart w:id="0" w:name="_Toc400361362"/>
      <w:bookmarkStart w:id="1" w:name="_Toc443397153"/>
      <w:bookmarkStart w:id="2" w:name="_Toc357771638"/>
      <w:bookmarkStart w:id="3" w:name="_Toc346793416"/>
      <w:bookmarkStart w:id="4" w:name="_Toc328122777"/>
      <w:r>
        <w:t xml:space="preserve">WHITEFIELD PRIMARY SCHOOL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8582"/>
        <w:gridCol w:w="6204"/>
      </w:tblGrid>
      <w:tr w:rsidR="00E66558" w14:paraId="2A7D54B7"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0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A3EAF1" w:rsidR="00E66558" w:rsidRDefault="00E715A2">
            <w:pPr>
              <w:pStyle w:val="TableRow"/>
            </w:pPr>
            <w:r>
              <w:t>Whitefield Primary School</w:t>
            </w:r>
          </w:p>
        </w:tc>
      </w:tr>
      <w:tr w:rsidR="00E66558" w14:paraId="2A7D54BD"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78F7AB" w:rsidR="00E66558" w:rsidRDefault="00E715A2">
            <w:pPr>
              <w:pStyle w:val="TableRow"/>
            </w:pPr>
            <w:r>
              <w:t>391</w:t>
            </w:r>
          </w:p>
        </w:tc>
      </w:tr>
      <w:tr w:rsidR="00E66558" w14:paraId="2A7D54C0"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C37ACE8" w:rsidR="00E66558" w:rsidRDefault="00E715A2">
            <w:pPr>
              <w:pStyle w:val="TableRow"/>
            </w:pPr>
            <w:r>
              <w:t>39</w:t>
            </w:r>
          </w:p>
        </w:tc>
      </w:tr>
      <w:tr w:rsidR="00E66558" w14:paraId="2A7D54C3"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582FC82" w:rsidR="00E66558" w:rsidRDefault="00E715A2">
            <w:pPr>
              <w:pStyle w:val="TableRow"/>
            </w:pPr>
            <w:r>
              <w:t>2020-2023</w:t>
            </w:r>
          </w:p>
        </w:tc>
      </w:tr>
      <w:tr w:rsidR="00E66558" w14:paraId="2A7D54C6"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F14B40" w:rsidR="00E66558" w:rsidRDefault="00E715A2">
            <w:pPr>
              <w:pStyle w:val="TableRow"/>
            </w:pPr>
            <w:r>
              <w:t>October 2020</w:t>
            </w:r>
          </w:p>
        </w:tc>
      </w:tr>
      <w:tr w:rsidR="00E66558" w14:paraId="2A7D54C9"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6E0DCC" w:rsidR="00E715A2" w:rsidRDefault="00E715A2" w:rsidP="00D15585">
            <w:pPr>
              <w:pStyle w:val="TableRow"/>
              <w:ind w:left="0"/>
            </w:pPr>
            <w:bookmarkStart w:id="14" w:name="_GoBack"/>
            <w:bookmarkEnd w:id="14"/>
            <w:r>
              <w:t>March 2022</w:t>
            </w:r>
          </w:p>
        </w:tc>
      </w:tr>
      <w:tr w:rsidR="00E66558" w14:paraId="2A7D54CC"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7FB3" w14:textId="0C04ADD4" w:rsidR="00E66558" w:rsidRDefault="00E715A2">
            <w:pPr>
              <w:pStyle w:val="TableRow"/>
            </w:pPr>
            <w:r>
              <w:t>Sarah Foster - Headteacher</w:t>
            </w:r>
          </w:p>
          <w:p w14:paraId="2A7D54CB" w14:textId="29CECD6E" w:rsidR="00E715A2" w:rsidRDefault="00E715A2">
            <w:pPr>
              <w:pStyle w:val="TableRow"/>
            </w:pPr>
            <w:r>
              <w:t>Deb Bramley – Chair of Governing Board</w:t>
            </w:r>
          </w:p>
        </w:tc>
      </w:tr>
      <w:tr w:rsidR="00E66558" w14:paraId="2A7D54CF"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59DEF9" w:rsidR="00E66558" w:rsidRDefault="00E715A2">
            <w:pPr>
              <w:pStyle w:val="TableRow"/>
            </w:pPr>
            <w:r>
              <w:t>Vicky King – Assessment lead</w:t>
            </w:r>
          </w:p>
        </w:tc>
      </w:tr>
      <w:tr w:rsidR="00E66558" w14:paraId="2A7D54D2"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5128B1" w:rsidR="00E66558" w:rsidRDefault="00E715A2">
            <w:pPr>
              <w:pStyle w:val="TableRow"/>
            </w:pPr>
            <w:r>
              <w:t>Deb Bramley – Chair of Governing Board</w:t>
            </w:r>
          </w:p>
        </w:tc>
      </w:tr>
      <w:bookmarkEnd w:id="2"/>
      <w:bookmarkEnd w:id="3"/>
      <w:bookmarkEnd w:id="4"/>
    </w:tbl>
    <w:p w14:paraId="00E29437" w14:textId="77777777" w:rsidR="00393386" w:rsidRDefault="00393386">
      <w:pPr>
        <w:spacing w:before="480" w:line="240" w:lineRule="auto"/>
        <w:rPr>
          <w:b/>
          <w:color w:val="104F75"/>
          <w:sz w:val="32"/>
          <w:szCs w:val="32"/>
        </w:rPr>
      </w:pPr>
    </w:p>
    <w:p w14:paraId="2A7D54D3" w14:textId="77777777"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4F8DCB" w:rsidR="00E66558" w:rsidRDefault="009D71E8">
            <w:pPr>
              <w:pStyle w:val="TableRow"/>
            </w:pPr>
            <w:r>
              <w:t>£</w:t>
            </w:r>
            <w:r w:rsidR="00E715A2">
              <w:t>52330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BB5C26" w:rsidR="00E66558" w:rsidRDefault="009D71E8">
            <w:pPr>
              <w:pStyle w:val="TableRow"/>
            </w:pPr>
            <w:r>
              <w:t>£</w:t>
            </w:r>
            <w:r w:rsidR="00393386">
              <w:t>5220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FF7226" w:rsidR="00E66558" w:rsidRDefault="009D71E8">
            <w:pPr>
              <w:pStyle w:val="TableRow"/>
            </w:pPr>
            <w:r>
              <w:t>£</w:t>
            </w:r>
            <w:r w:rsidR="00E715A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00F5CD" w:rsidR="00E66558" w:rsidRDefault="009D71E8">
            <w:pPr>
              <w:pStyle w:val="TableRow"/>
            </w:pPr>
            <w:r>
              <w:t>£</w:t>
            </w:r>
            <w:r w:rsidR="00393386">
              <w:t>57550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89C6" w14:textId="77777777" w:rsidR="00E66558" w:rsidRDefault="00E715A2">
            <w:pPr>
              <w:pStyle w:val="ListParagraph"/>
              <w:numPr>
                <w:ilvl w:val="0"/>
                <w:numId w:val="13"/>
              </w:numPr>
              <w:rPr>
                <w:i/>
                <w:iCs/>
              </w:rPr>
            </w:pPr>
            <w:r>
              <w:rPr>
                <w:i/>
                <w:iCs/>
              </w:rPr>
              <w:t>Our disadvantaged children do not perform as well as non-disadvantaged children in some year groups</w:t>
            </w:r>
          </w:p>
          <w:p w14:paraId="62BD24A4" w14:textId="77777777" w:rsidR="00E715A2" w:rsidRDefault="00E715A2">
            <w:pPr>
              <w:pStyle w:val="ListParagraph"/>
              <w:numPr>
                <w:ilvl w:val="0"/>
                <w:numId w:val="13"/>
              </w:numPr>
              <w:rPr>
                <w:i/>
                <w:iCs/>
              </w:rPr>
            </w:pPr>
            <w:r>
              <w:rPr>
                <w:i/>
                <w:iCs/>
              </w:rPr>
              <w:t>There is inconsistency of attainment and progress in this group across school</w:t>
            </w:r>
          </w:p>
          <w:p w14:paraId="2A7D54E9" w14:textId="34768F04" w:rsidR="00E715A2" w:rsidRDefault="00E715A2">
            <w:pPr>
              <w:pStyle w:val="ListParagraph"/>
              <w:numPr>
                <w:ilvl w:val="0"/>
                <w:numId w:val="13"/>
              </w:numPr>
              <w:rPr>
                <w:i/>
                <w:iCs/>
              </w:rPr>
            </w:pPr>
            <w:r>
              <w:rPr>
                <w:i/>
                <w:iCs/>
              </w:rPr>
              <w:t>We aim to continue to target the strategies outlined below in order to ensure these children are given the support they are needed to achieve the best that they can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02"/>
        <w:gridCol w:w="12484"/>
      </w:tblGrid>
      <w:tr w:rsidR="00E66558" w14:paraId="2A7D54EF"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4604F" w:rsidRDefault="009D71E8">
            <w:pPr>
              <w:pStyle w:val="TableRow"/>
              <w:rPr>
                <w:sz w:val="22"/>
                <w:szCs w:val="22"/>
              </w:rPr>
            </w:pPr>
            <w:r w:rsidRPr="00A4604F">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F90E0A" w:rsidR="00E66558" w:rsidRPr="00A4604F" w:rsidRDefault="00A4604F">
            <w:pPr>
              <w:pStyle w:val="TableRowCentered"/>
              <w:jc w:val="left"/>
              <w:rPr>
                <w:sz w:val="22"/>
                <w:szCs w:val="22"/>
              </w:rPr>
            </w:pPr>
            <w:r w:rsidRPr="00A4604F">
              <w:rPr>
                <w:rFonts w:cs="Arial"/>
                <w:sz w:val="22"/>
                <w:szCs w:val="22"/>
              </w:rPr>
              <w:t>Non-routine admissions form 28% of the group with all of these children now in KS2 (9/32) – mobility within the area is increasing in last three years. FS, KS1 data and pupil info can be difficult to get hold of from feeder schools in a timescale that allows us to hit the ground running. 66% of the NRA PPG group are working below age related expectations (6/9).</w:t>
            </w:r>
          </w:p>
        </w:tc>
      </w:tr>
      <w:tr w:rsidR="00E66558" w14:paraId="2A7D54F5"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4604F" w:rsidRDefault="009D71E8">
            <w:pPr>
              <w:pStyle w:val="TableRow"/>
              <w:rPr>
                <w:sz w:val="22"/>
                <w:szCs w:val="22"/>
              </w:rPr>
            </w:pPr>
            <w:r w:rsidRPr="00A4604F">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8C01D27" w:rsidR="00E66558" w:rsidRPr="00A4604F" w:rsidRDefault="00A4604F">
            <w:pPr>
              <w:pStyle w:val="TableRowCentered"/>
              <w:jc w:val="left"/>
              <w:rPr>
                <w:sz w:val="22"/>
                <w:szCs w:val="22"/>
              </w:rPr>
            </w:pPr>
            <w:r w:rsidRPr="00A4604F">
              <w:rPr>
                <w:rFonts w:cs="Arial"/>
                <w:sz w:val="22"/>
                <w:szCs w:val="22"/>
              </w:rPr>
              <w:t>Attendance rates for children eligible for pupil premium are below 96% for 50% of the group with 12 having historically being below 96% in previous years</w:t>
            </w:r>
          </w:p>
        </w:tc>
      </w:tr>
      <w:tr w:rsidR="00E66558" w14:paraId="2A7D54F8"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4604F" w:rsidRDefault="009D71E8">
            <w:pPr>
              <w:pStyle w:val="TableRow"/>
              <w:rPr>
                <w:sz w:val="22"/>
                <w:szCs w:val="22"/>
              </w:rPr>
            </w:pPr>
            <w:r w:rsidRPr="00A4604F">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FBA83B" w:rsidR="00E66558" w:rsidRPr="00A4604F" w:rsidRDefault="00A4604F">
            <w:pPr>
              <w:pStyle w:val="TableRowCentered"/>
              <w:jc w:val="left"/>
              <w:rPr>
                <w:sz w:val="22"/>
                <w:szCs w:val="22"/>
              </w:rPr>
            </w:pPr>
            <w:r w:rsidRPr="00A4604F">
              <w:rPr>
                <w:rFonts w:cs="Arial"/>
                <w:sz w:val="22"/>
                <w:szCs w:val="22"/>
              </w:rPr>
              <w:t>69% of the children who access PPG funding also have welfare issues outside of school, usually within the home which impacts on their concentration and work ethic</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506"/>
        <w:gridCol w:w="7280"/>
      </w:tblGrid>
      <w:tr w:rsidR="00E66558" w14:paraId="2A7D5503"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A391522" w:rsidR="00E66558" w:rsidRPr="0015347A" w:rsidRDefault="00A4604F" w:rsidP="00A4604F">
            <w:pPr>
              <w:pStyle w:val="TableRow"/>
              <w:numPr>
                <w:ilvl w:val="0"/>
                <w:numId w:val="14"/>
              </w:numPr>
              <w:rPr>
                <w:sz w:val="22"/>
                <w:szCs w:val="22"/>
              </w:rPr>
            </w:pPr>
            <w:r w:rsidRPr="0015347A">
              <w:rPr>
                <w:rFonts w:cs="Arial"/>
                <w:sz w:val="22"/>
                <w:szCs w:val="22"/>
              </w:rPr>
              <w:t>Higher rates of attainment and progress for NRA PP children based on accurate early judgements – termly assessment and data analysis. Teachers/TAs assess pupils on entry as part of their induction programme in to school allowing teachers and TAs to begin working with the child at the known level of attainment as early as possible, ensuring progress is made. (See NRA procedures Nov 2020)</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11EDCEA" w:rsidR="00E66558" w:rsidRPr="0015347A" w:rsidRDefault="00A4604F">
            <w:pPr>
              <w:pStyle w:val="TableRowCentered"/>
              <w:jc w:val="left"/>
              <w:rPr>
                <w:sz w:val="22"/>
                <w:szCs w:val="22"/>
              </w:rPr>
            </w:pPr>
            <w:r w:rsidRPr="0015347A">
              <w:rPr>
                <w:rFonts w:cs="Arial"/>
                <w:sz w:val="22"/>
                <w:szCs w:val="22"/>
              </w:rPr>
              <w:t>NRA PPG data shows increase in progress and attainment in line or better than non-PPG/NRA group</w:t>
            </w:r>
          </w:p>
        </w:tc>
      </w:tr>
      <w:tr w:rsidR="00E66558" w14:paraId="2A7D5509"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A871EB1" w:rsidR="00E66558" w:rsidRPr="0015347A" w:rsidRDefault="00A4604F" w:rsidP="00A4604F">
            <w:pPr>
              <w:pStyle w:val="TableRow"/>
              <w:numPr>
                <w:ilvl w:val="0"/>
                <w:numId w:val="14"/>
              </w:numPr>
              <w:rPr>
                <w:sz w:val="22"/>
                <w:szCs w:val="22"/>
              </w:rPr>
            </w:pPr>
            <w:r w:rsidRPr="0015347A">
              <w:rPr>
                <w:rFonts w:cs="Arial"/>
                <w:sz w:val="22"/>
                <w:szCs w:val="22"/>
              </w:rPr>
              <w:t>Increased attendance rates for pupils eligible for PPG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113FA4A" w:rsidR="00E66558" w:rsidRPr="0015347A" w:rsidRDefault="00A4604F">
            <w:pPr>
              <w:pStyle w:val="TableRowCentered"/>
              <w:jc w:val="left"/>
              <w:rPr>
                <w:sz w:val="22"/>
                <w:szCs w:val="22"/>
              </w:rPr>
            </w:pPr>
            <w:r w:rsidRPr="0015347A">
              <w:rPr>
                <w:rFonts w:cs="Arial"/>
                <w:sz w:val="22"/>
                <w:szCs w:val="22"/>
              </w:rPr>
              <w:t>Increased attendance = better attainment and progress</w:t>
            </w:r>
          </w:p>
        </w:tc>
      </w:tr>
      <w:tr w:rsidR="00E66558" w14:paraId="2A7D550C"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7D9D81" w:rsidR="00E66558" w:rsidRPr="0015347A" w:rsidRDefault="00A4604F" w:rsidP="00A4604F">
            <w:pPr>
              <w:pStyle w:val="TableRow"/>
              <w:numPr>
                <w:ilvl w:val="0"/>
                <w:numId w:val="14"/>
              </w:numPr>
              <w:rPr>
                <w:sz w:val="22"/>
                <w:szCs w:val="22"/>
              </w:rPr>
            </w:pPr>
            <w:r w:rsidRPr="0015347A">
              <w:rPr>
                <w:rFonts w:cs="Arial"/>
                <w:sz w:val="22"/>
                <w:szCs w:val="22"/>
              </w:rPr>
              <w:t>Internal and external agency support allows children to be school ready.  Children actively participate in learning.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1A6CD35" w:rsidR="00E66558" w:rsidRPr="0015347A" w:rsidRDefault="00A4604F">
            <w:pPr>
              <w:pStyle w:val="TableRowCentered"/>
              <w:jc w:val="left"/>
              <w:rPr>
                <w:sz w:val="22"/>
                <w:szCs w:val="22"/>
              </w:rPr>
            </w:pPr>
            <w:r w:rsidRPr="0015347A">
              <w:rPr>
                <w:rFonts w:cs="Arial"/>
                <w:sz w:val="22"/>
                <w:szCs w:val="22"/>
              </w:rPr>
              <w:t>Increase in attainment and progress for this group of children.</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tbl>
      <w:tblPr>
        <w:tblStyle w:val="TableGrid"/>
        <w:tblW w:w="15417" w:type="dxa"/>
        <w:tblLook w:val="04A0" w:firstRow="1" w:lastRow="0" w:firstColumn="1" w:lastColumn="0" w:noHBand="0" w:noVBand="1"/>
      </w:tblPr>
      <w:tblGrid>
        <w:gridCol w:w="2374"/>
        <w:gridCol w:w="2421"/>
        <w:gridCol w:w="3760"/>
        <w:gridCol w:w="3220"/>
        <w:gridCol w:w="1625"/>
        <w:gridCol w:w="2017"/>
      </w:tblGrid>
      <w:tr w:rsidR="00A4604F" w:rsidRPr="00A4604F" w14:paraId="77C6FAEC" w14:textId="77777777" w:rsidTr="0015347A">
        <w:tc>
          <w:tcPr>
            <w:tcW w:w="15016" w:type="dxa"/>
            <w:gridSpan w:val="6"/>
            <w:shd w:val="clear" w:color="auto" w:fill="CFDCE3"/>
            <w:tcMar>
              <w:top w:w="57" w:type="dxa"/>
              <w:bottom w:w="57" w:type="dxa"/>
            </w:tcMar>
          </w:tcPr>
          <w:p w14:paraId="60DC2010" w14:textId="77777777" w:rsidR="00A4604F" w:rsidRPr="00A4604F" w:rsidRDefault="00A4604F" w:rsidP="00A4604F">
            <w:pPr>
              <w:numPr>
                <w:ilvl w:val="0"/>
                <w:numId w:val="16"/>
              </w:numPr>
              <w:suppressAutoHyphens w:val="0"/>
              <w:spacing w:after="0" w:line="240" w:lineRule="auto"/>
              <w:ind w:left="426" w:hanging="284"/>
              <w:rPr>
                <w:rFonts w:ascii="Arial" w:hAnsi="Arial" w:cs="Arial"/>
                <w:b/>
                <w:color w:val="auto"/>
                <w:sz w:val="22"/>
                <w:szCs w:val="22"/>
              </w:rPr>
            </w:pPr>
            <w:r w:rsidRPr="00A4604F">
              <w:rPr>
                <w:rFonts w:ascii="Arial" w:hAnsi="Arial" w:cs="Arial"/>
                <w:color w:val="auto"/>
                <w:sz w:val="22"/>
                <w:szCs w:val="22"/>
              </w:rPr>
              <w:br w:type="page"/>
            </w:r>
            <w:r w:rsidRPr="00A4604F">
              <w:rPr>
                <w:rFonts w:ascii="Arial" w:hAnsi="Arial" w:cs="Arial"/>
                <w:b/>
                <w:color w:val="auto"/>
                <w:sz w:val="22"/>
                <w:szCs w:val="22"/>
              </w:rPr>
              <w:t xml:space="preserve">Planned expenditure </w:t>
            </w:r>
          </w:p>
        </w:tc>
      </w:tr>
      <w:tr w:rsidR="00A4604F" w:rsidRPr="00A4604F" w14:paraId="66F11BAB" w14:textId="77777777" w:rsidTr="0015347A">
        <w:tc>
          <w:tcPr>
            <w:tcW w:w="2187" w:type="dxa"/>
            <w:shd w:val="clear" w:color="auto" w:fill="auto"/>
            <w:tcMar>
              <w:top w:w="57" w:type="dxa"/>
              <w:bottom w:w="57" w:type="dxa"/>
            </w:tcMar>
          </w:tcPr>
          <w:p w14:paraId="27952C44" w14:textId="77777777" w:rsidR="00A4604F" w:rsidRPr="00A4604F" w:rsidRDefault="00A4604F" w:rsidP="00A4604F">
            <w:pPr>
              <w:numPr>
                <w:ilvl w:val="0"/>
                <w:numId w:val="15"/>
              </w:num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Academic year</w:t>
            </w:r>
          </w:p>
        </w:tc>
        <w:tc>
          <w:tcPr>
            <w:tcW w:w="12829" w:type="dxa"/>
            <w:gridSpan w:val="5"/>
            <w:shd w:val="clear" w:color="auto" w:fill="auto"/>
          </w:tcPr>
          <w:p w14:paraId="20D00233" w14:textId="7A30B0B7" w:rsidR="00A4604F" w:rsidRPr="00A4604F" w:rsidRDefault="00A4604F" w:rsidP="00A4604F">
            <w:pPr>
              <w:numPr>
                <w:ilvl w:val="0"/>
                <w:numId w:val="15"/>
              </w:numPr>
              <w:suppressAutoHyphens w:val="0"/>
              <w:spacing w:after="0" w:line="240" w:lineRule="auto"/>
              <w:ind w:left="426"/>
              <w:rPr>
                <w:rFonts w:ascii="Arial" w:hAnsi="Arial" w:cs="Arial"/>
                <w:b/>
                <w:color w:val="auto"/>
                <w:sz w:val="22"/>
                <w:szCs w:val="22"/>
              </w:rPr>
            </w:pPr>
            <w:r w:rsidRPr="00A4604F">
              <w:rPr>
                <w:rFonts w:ascii="Arial" w:hAnsi="Arial" w:cs="Arial"/>
                <w:b/>
                <w:color w:val="auto"/>
                <w:sz w:val="22"/>
                <w:szCs w:val="22"/>
              </w:rPr>
              <w:t>2021/22</w:t>
            </w:r>
          </w:p>
        </w:tc>
      </w:tr>
      <w:tr w:rsidR="00A4604F" w:rsidRPr="00A4604F" w14:paraId="28A0C88E" w14:textId="77777777" w:rsidTr="0015347A">
        <w:tc>
          <w:tcPr>
            <w:tcW w:w="15016" w:type="dxa"/>
            <w:gridSpan w:val="6"/>
            <w:shd w:val="clear" w:color="auto" w:fill="CFDCE3"/>
            <w:tcMar>
              <w:top w:w="57" w:type="dxa"/>
              <w:bottom w:w="57" w:type="dxa"/>
            </w:tcMar>
          </w:tcPr>
          <w:p w14:paraId="4ABF515A" w14:textId="77777777" w:rsidR="00A4604F" w:rsidRPr="00A4604F" w:rsidRDefault="00A4604F" w:rsidP="00A4604F">
            <w:pPr>
              <w:suppressAutoHyphens w:val="0"/>
              <w:spacing w:after="0" w:line="240" w:lineRule="auto"/>
              <w:rPr>
                <w:rFonts w:ascii="Arial" w:hAnsi="Arial" w:cs="Arial"/>
                <w:color w:val="auto"/>
                <w:sz w:val="22"/>
                <w:szCs w:val="22"/>
              </w:rPr>
            </w:pPr>
            <w:r w:rsidRPr="00A4604F">
              <w:rPr>
                <w:rFonts w:ascii="Arial" w:hAnsi="Arial" w:cs="Arial"/>
                <w:color w:val="auto"/>
                <w:sz w:val="22"/>
                <w:szCs w:val="22"/>
              </w:rPr>
              <w:t xml:space="preserve">The three headings below enable schools to demonstrate how they are using the pupil premium to improve classroom pedagogy, provide targeted support and support whole school strategies. </w:t>
            </w:r>
          </w:p>
        </w:tc>
      </w:tr>
      <w:tr w:rsidR="00A4604F" w:rsidRPr="00A4604F" w14:paraId="590EEF1D" w14:textId="77777777" w:rsidTr="0015347A">
        <w:tc>
          <w:tcPr>
            <w:tcW w:w="15016" w:type="dxa"/>
            <w:gridSpan w:val="6"/>
            <w:shd w:val="clear" w:color="auto" w:fill="FFFFFF" w:themeFill="background1"/>
            <w:tcMar>
              <w:top w:w="57" w:type="dxa"/>
              <w:bottom w:w="57" w:type="dxa"/>
            </w:tcMar>
          </w:tcPr>
          <w:p w14:paraId="3B3AC7C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Quality of teaching for all</w:t>
            </w:r>
          </w:p>
        </w:tc>
      </w:tr>
      <w:tr w:rsidR="00A4604F" w:rsidRPr="00A4604F" w14:paraId="69E0AA6C" w14:textId="77777777" w:rsidTr="0015347A">
        <w:trPr>
          <w:trHeight w:val="289"/>
        </w:trPr>
        <w:tc>
          <w:tcPr>
            <w:tcW w:w="2187" w:type="dxa"/>
            <w:tcMar>
              <w:top w:w="57" w:type="dxa"/>
              <w:bottom w:w="57" w:type="dxa"/>
            </w:tcMar>
          </w:tcPr>
          <w:p w14:paraId="2CF812D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43F86E4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action / approach</w:t>
            </w:r>
          </w:p>
        </w:tc>
        <w:tc>
          <w:tcPr>
            <w:tcW w:w="3699" w:type="dxa"/>
            <w:shd w:val="clear" w:color="auto" w:fill="auto"/>
            <w:tcMar>
              <w:top w:w="57" w:type="dxa"/>
              <w:bottom w:w="57" w:type="dxa"/>
            </w:tcMar>
          </w:tcPr>
          <w:p w14:paraId="2CAB19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rationale for this choice?</w:t>
            </w:r>
          </w:p>
        </w:tc>
        <w:tc>
          <w:tcPr>
            <w:tcW w:w="3167" w:type="dxa"/>
            <w:shd w:val="clear" w:color="auto" w:fill="auto"/>
            <w:tcMar>
              <w:top w:w="57" w:type="dxa"/>
              <w:bottom w:w="57" w:type="dxa"/>
            </w:tcMar>
          </w:tcPr>
          <w:p w14:paraId="3B00BAF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shd w:val="clear" w:color="auto" w:fill="auto"/>
          </w:tcPr>
          <w:p w14:paraId="2611C07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12127A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implementation?</w:t>
            </w:r>
          </w:p>
        </w:tc>
      </w:tr>
      <w:tr w:rsidR="00A4604F" w:rsidRPr="00A4604F" w14:paraId="678DF7C6" w14:textId="77777777" w:rsidTr="0015347A">
        <w:trPr>
          <w:trHeight w:val="289"/>
        </w:trPr>
        <w:tc>
          <w:tcPr>
            <w:tcW w:w="2187" w:type="dxa"/>
            <w:tcMar>
              <w:top w:w="57" w:type="dxa"/>
              <w:bottom w:w="57" w:type="dxa"/>
            </w:tcMar>
          </w:tcPr>
          <w:p w14:paraId="6AF6D470"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2381" w:type="dxa"/>
            <w:tcMar>
              <w:top w:w="57" w:type="dxa"/>
              <w:bottom w:w="57" w:type="dxa"/>
            </w:tcMar>
          </w:tcPr>
          <w:p w14:paraId="1A40B969"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shd w:val="clear" w:color="auto" w:fill="auto"/>
            <w:tcMar>
              <w:top w:w="57" w:type="dxa"/>
              <w:bottom w:w="57" w:type="dxa"/>
            </w:tcMar>
          </w:tcPr>
          <w:p w14:paraId="4015BA33"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167" w:type="dxa"/>
            <w:shd w:val="clear" w:color="auto" w:fill="auto"/>
            <w:tcMar>
              <w:top w:w="57" w:type="dxa"/>
              <w:bottom w:w="57" w:type="dxa"/>
            </w:tcMar>
          </w:tcPr>
          <w:p w14:paraId="1C951431"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shd w:val="clear" w:color="auto" w:fill="auto"/>
          </w:tcPr>
          <w:p w14:paraId="1E34513A"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984" w:type="dxa"/>
          </w:tcPr>
          <w:p w14:paraId="581CE51A" w14:textId="77777777" w:rsidR="00A4604F" w:rsidRPr="00A4604F" w:rsidRDefault="00A4604F" w:rsidP="00A4604F">
            <w:pPr>
              <w:suppressAutoHyphens w:val="0"/>
              <w:spacing w:after="0" w:line="240" w:lineRule="auto"/>
              <w:rPr>
                <w:rFonts w:ascii="Arial" w:hAnsi="Arial" w:cs="Arial"/>
                <w:b/>
                <w:color w:val="auto"/>
                <w:sz w:val="22"/>
                <w:szCs w:val="22"/>
              </w:rPr>
            </w:pPr>
          </w:p>
        </w:tc>
      </w:tr>
      <w:tr w:rsidR="00A4604F" w:rsidRPr="00A4604F" w14:paraId="378DDD6A" w14:textId="77777777" w:rsidTr="00393386">
        <w:trPr>
          <w:trHeight w:hRule="exact" w:val="3794"/>
        </w:trPr>
        <w:tc>
          <w:tcPr>
            <w:tcW w:w="2187" w:type="dxa"/>
            <w:tcMar>
              <w:top w:w="57" w:type="dxa"/>
              <w:bottom w:w="57" w:type="dxa"/>
            </w:tcMar>
          </w:tcPr>
          <w:p w14:paraId="4C6765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Improved and accurate starting points for DAP (disadvantaged pupils) non-routine admissions</w:t>
            </w:r>
          </w:p>
        </w:tc>
        <w:tc>
          <w:tcPr>
            <w:tcW w:w="2381" w:type="dxa"/>
            <w:tcMar>
              <w:top w:w="57" w:type="dxa"/>
              <w:bottom w:w="57" w:type="dxa"/>
            </w:tcMar>
          </w:tcPr>
          <w:p w14:paraId="35A478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Identified staff member (HLTA) to assess pupils prior to admission to school.</w:t>
            </w:r>
          </w:p>
          <w:p w14:paraId="01A6494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Assessment fed back to Inclusion Manager and class teacher.</w:t>
            </w:r>
          </w:p>
          <w:p w14:paraId="6356FA3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This group of children will be tracked termly and progress and attainment analysed for impact.</w:t>
            </w:r>
          </w:p>
        </w:tc>
        <w:tc>
          <w:tcPr>
            <w:tcW w:w="3699" w:type="dxa"/>
            <w:tcMar>
              <w:top w:w="57" w:type="dxa"/>
              <w:bottom w:w="57" w:type="dxa"/>
            </w:tcMar>
          </w:tcPr>
          <w:p w14:paraId="1AC9273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28% of the PPG group are NRAs coming in to school after Reception – all are now in KS2 and accelerated progress is a priority post lockdown.</w:t>
            </w:r>
          </w:p>
          <w:p w14:paraId="31F2EA4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has historically had difficulties obtaining accurate assessments from the feeder school and learning time is wasted assessing the child once they have already arrived.  This assessment needs to be done prior to the child starting school.</w:t>
            </w:r>
          </w:p>
        </w:tc>
        <w:tc>
          <w:tcPr>
            <w:tcW w:w="3167" w:type="dxa"/>
            <w:shd w:val="clear" w:color="auto" w:fill="auto"/>
            <w:tcMar>
              <w:top w:w="57" w:type="dxa"/>
              <w:bottom w:w="57" w:type="dxa"/>
            </w:tcMar>
          </w:tcPr>
          <w:p w14:paraId="4F12C2E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NRA induction to school procedure will be updated in line with this action.</w:t>
            </w:r>
          </w:p>
          <w:p w14:paraId="1DCC876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identified HLTA will be released from her post in school to carry out the assessments needed. Parents will be informed they will need to allow a morning for this assessment to take place.</w:t>
            </w:r>
          </w:p>
          <w:p w14:paraId="4A72CEE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NRA and PP review reported to governing body termly.</w:t>
            </w:r>
          </w:p>
        </w:tc>
        <w:tc>
          <w:tcPr>
            <w:tcW w:w="1598" w:type="dxa"/>
            <w:shd w:val="clear" w:color="auto" w:fill="auto"/>
          </w:tcPr>
          <w:p w14:paraId="31779FDA" w14:textId="33818428"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Vicky King - assessment lead</w:t>
            </w:r>
          </w:p>
          <w:p w14:paraId="553C295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(analysis and action planning – 2 days per term)</w:t>
            </w:r>
          </w:p>
          <w:p w14:paraId="0009C7F8" w14:textId="77777777" w:rsidR="00A4604F" w:rsidRPr="00A4604F" w:rsidRDefault="00A4604F" w:rsidP="00A4604F">
            <w:pPr>
              <w:suppressAutoHyphens w:val="0"/>
              <w:spacing w:after="0" w:line="240" w:lineRule="auto"/>
              <w:rPr>
                <w:rFonts w:ascii="Arial" w:hAnsi="Arial" w:cs="Arial"/>
                <w:b/>
                <w:color w:val="auto"/>
                <w:sz w:val="22"/>
                <w:szCs w:val="22"/>
              </w:rPr>
            </w:pPr>
          </w:p>
          <w:p w14:paraId="124929C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Louise Scott, HLTA (1/2 day per NRA)</w:t>
            </w:r>
          </w:p>
        </w:tc>
        <w:tc>
          <w:tcPr>
            <w:tcW w:w="1984" w:type="dxa"/>
            <w:shd w:val="clear" w:color="auto" w:fill="auto"/>
          </w:tcPr>
          <w:p w14:paraId="1BD438A5" w14:textId="66D7466E"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April 2022 – two sets of data available at this point</w:t>
            </w:r>
          </w:p>
        </w:tc>
      </w:tr>
      <w:tr w:rsidR="00A4604F" w:rsidRPr="00A4604F" w14:paraId="45290E09" w14:textId="77777777" w:rsidTr="0015347A">
        <w:trPr>
          <w:trHeight w:hRule="exact" w:val="655"/>
        </w:trPr>
        <w:tc>
          <w:tcPr>
            <w:tcW w:w="13032" w:type="dxa"/>
            <w:gridSpan w:val="5"/>
            <w:tcMar>
              <w:top w:w="57" w:type="dxa"/>
              <w:bottom w:w="57" w:type="dxa"/>
            </w:tcMar>
          </w:tcPr>
          <w:p w14:paraId="5873FA25"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lastRenderedPageBreak/>
              <w:t>Total budgeted cost</w:t>
            </w:r>
          </w:p>
        </w:tc>
        <w:tc>
          <w:tcPr>
            <w:tcW w:w="1984" w:type="dxa"/>
          </w:tcPr>
          <w:p w14:paraId="74503C5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£7 800</w:t>
            </w:r>
          </w:p>
        </w:tc>
      </w:tr>
      <w:tr w:rsidR="00A4604F" w:rsidRPr="00A4604F" w14:paraId="178BDDCC" w14:textId="77777777" w:rsidTr="0015347A">
        <w:trPr>
          <w:trHeight w:hRule="exact" w:val="312"/>
        </w:trPr>
        <w:tc>
          <w:tcPr>
            <w:tcW w:w="15016" w:type="dxa"/>
            <w:gridSpan w:val="6"/>
            <w:tcMar>
              <w:top w:w="57" w:type="dxa"/>
              <w:bottom w:w="57" w:type="dxa"/>
            </w:tcMar>
          </w:tcPr>
          <w:p w14:paraId="530C3CF8"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Targeted support</w:t>
            </w:r>
          </w:p>
        </w:tc>
      </w:tr>
      <w:tr w:rsidR="00A4604F" w:rsidRPr="00A4604F" w14:paraId="6A66F3C8" w14:textId="77777777" w:rsidTr="0015347A">
        <w:tc>
          <w:tcPr>
            <w:tcW w:w="2187" w:type="dxa"/>
            <w:tcMar>
              <w:top w:w="57" w:type="dxa"/>
              <w:bottom w:w="57" w:type="dxa"/>
            </w:tcMar>
          </w:tcPr>
          <w:p w14:paraId="6BC89D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0A51C84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action/approach</w:t>
            </w:r>
          </w:p>
        </w:tc>
        <w:tc>
          <w:tcPr>
            <w:tcW w:w="3699" w:type="dxa"/>
            <w:tcMar>
              <w:top w:w="57" w:type="dxa"/>
              <w:bottom w:w="57" w:type="dxa"/>
            </w:tcMar>
          </w:tcPr>
          <w:p w14:paraId="7E7DF8C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rationale for this choice?</w:t>
            </w:r>
          </w:p>
        </w:tc>
        <w:tc>
          <w:tcPr>
            <w:tcW w:w="3167" w:type="dxa"/>
            <w:tcMar>
              <w:top w:w="57" w:type="dxa"/>
              <w:bottom w:w="57" w:type="dxa"/>
            </w:tcMar>
          </w:tcPr>
          <w:p w14:paraId="41BDDD1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2BD752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7E96632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implementation?</w:t>
            </w:r>
          </w:p>
        </w:tc>
      </w:tr>
      <w:tr w:rsidR="00A4604F" w:rsidRPr="00A4604F" w14:paraId="698C4931" w14:textId="77777777" w:rsidTr="00393386">
        <w:trPr>
          <w:trHeight w:hRule="exact" w:val="6046"/>
        </w:trPr>
        <w:tc>
          <w:tcPr>
            <w:tcW w:w="2187" w:type="dxa"/>
            <w:tcMar>
              <w:top w:w="57" w:type="dxa"/>
              <w:bottom w:w="57" w:type="dxa"/>
            </w:tcMar>
          </w:tcPr>
          <w:p w14:paraId="0AA3426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NRA DAP children based on accurate early judgements</w:t>
            </w:r>
          </w:p>
          <w:p w14:paraId="34376833" w14:textId="77777777" w:rsidR="00A4604F" w:rsidRPr="00A4604F" w:rsidRDefault="00A4604F" w:rsidP="00A4604F">
            <w:pPr>
              <w:suppressAutoHyphens w:val="0"/>
              <w:spacing w:after="0" w:line="240" w:lineRule="auto"/>
              <w:rPr>
                <w:rFonts w:ascii="Arial" w:hAnsi="Arial" w:cs="Arial"/>
                <w:b/>
                <w:color w:val="auto"/>
                <w:sz w:val="22"/>
                <w:szCs w:val="22"/>
              </w:rPr>
            </w:pPr>
          </w:p>
          <w:p w14:paraId="4CA52CE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all DAP children so they are in line with age related expectations</w:t>
            </w:r>
          </w:p>
        </w:tc>
        <w:tc>
          <w:tcPr>
            <w:tcW w:w="2381" w:type="dxa"/>
            <w:tcMar>
              <w:top w:w="57" w:type="dxa"/>
              <w:bottom w:w="57" w:type="dxa"/>
            </w:tcMar>
          </w:tcPr>
          <w:p w14:paraId="77B801C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121 and small group provision additional to the daily maths and English lessons.</w:t>
            </w:r>
          </w:p>
          <w:p w14:paraId="69298FDA" w14:textId="4E552338"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Catch up programme funding for small group after school tuition – Autumn 2021 – Summer 2022</w:t>
            </w:r>
          </w:p>
          <w:p w14:paraId="7A80869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Provided by skilled teaching assistants in consultation with class teacher and Inclusion Manager.</w:t>
            </w:r>
          </w:p>
          <w:p w14:paraId="2FB769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IDL</w:t>
            </w:r>
          </w:p>
          <w:p w14:paraId="2A64AF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BRP</w:t>
            </w:r>
          </w:p>
          <w:p w14:paraId="73B6631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 xml:space="preserve">Counselling service for children who have needs that require specialist support </w:t>
            </w:r>
          </w:p>
          <w:p w14:paraId="370522A2"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tcMar>
              <w:top w:w="57" w:type="dxa"/>
              <w:bottom w:w="57" w:type="dxa"/>
            </w:tcMar>
          </w:tcPr>
          <w:p w14:paraId="5B0E654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 xml:space="preserve">Some of the NRA DAP children need targeted interventions to bring their learning in line with age related expectations.  </w:t>
            </w:r>
          </w:p>
          <w:p w14:paraId="524F8E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programmes used in school are effective and have a proven track record.</w:t>
            </w:r>
          </w:p>
          <w:p w14:paraId="512C421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Learning mentor support available to DAP children as a priority.</w:t>
            </w:r>
          </w:p>
          <w:p w14:paraId="29F14F1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Access to CANW and CAMHs, school nurse available via referral process</w:t>
            </w:r>
          </w:p>
        </w:tc>
        <w:tc>
          <w:tcPr>
            <w:tcW w:w="3167" w:type="dxa"/>
            <w:tcMar>
              <w:top w:w="57" w:type="dxa"/>
              <w:bottom w:w="57" w:type="dxa"/>
            </w:tcMar>
          </w:tcPr>
          <w:p w14:paraId="297314A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Termly review of data via the governor school standards committee</w:t>
            </w:r>
          </w:p>
          <w:p w14:paraId="3EECC7A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Observations of interventions by the Inclusion Manager</w:t>
            </w:r>
          </w:p>
          <w:p w14:paraId="1CB3275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Conferencing with the teachers and children – do they feel the additional support is working and helping?</w:t>
            </w:r>
          </w:p>
        </w:tc>
        <w:tc>
          <w:tcPr>
            <w:tcW w:w="1598" w:type="dxa"/>
          </w:tcPr>
          <w:p w14:paraId="1FF9ACE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 to support</w:t>
            </w:r>
          </w:p>
          <w:p w14:paraId="486B8B90" w14:textId="77777777" w:rsidR="00A4604F" w:rsidRPr="00A4604F" w:rsidRDefault="00A4604F" w:rsidP="00A4604F">
            <w:pPr>
              <w:suppressAutoHyphens w:val="0"/>
              <w:spacing w:after="0" w:line="240" w:lineRule="auto"/>
              <w:rPr>
                <w:rFonts w:ascii="Arial" w:hAnsi="Arial" w:cs="Arial"/>
                <w:b/>
                <w:color w:val="auto"/>
                <w:sz w:val="22"/>
                <w:szCs w:val="22"/>
              </w:rPr>
            </w:pPr>
          </w:p>
          <w:p w14:paraId="60D5E52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Janice Adams / Andy Jackson</w:t>
            </w:r>
          </w:p>
        </w:tc>
        <w:tc>
          <w:tcPr>
            <w:tcW w:w="1984" w:type="dxa"/>
          </w:tcPr>
          <w:p w14:paraId="08C430AE" w14:textId="5892B8FB" w:rsidR="00A4604F" w:rsidRPr="00A4604F" w:rsidRDefault="00393386"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2022</w:t>
            </w:r>
          </w:p>
        </w:tc>
      </w:tr>
      <w:tr w:rsidR="00A4604F" w:rsidRPr="00A4604F" w14:paraId="72552F1E" w14:textId="77777777" w:rsidTr="00393386">
        <w:trPr>
          <w:trHeight w:hRule="exact" w:val="1215"/>
        </w:trPr>
        <w:tc>
          <w:tcPr>
            <w:tcW w:w="13032" w:type="dxa"/>
            <w:gridSpan w:val="5"/>
            <w:tcMar>
              <w:top w:w="57" w:type="dxa"/>
              <w:bottom w:w="57" w:type="dxa"/>
            </w:tcMar>
          </w:tcPr>
          <w:p w14:paraId="45E0CFAA"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t>Total budgeted cost</w:t>
            </w:r>
          </w:p>
        </w:tc>
        <w:tc>
          <w:tcPr>
            <w:tcW w:w="1984" w:type="dxa"/>
          </w:tcPr>
          <w:p w14:paraId="5C8B980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£20 000</w:t>
            </w:r>
          </w:p>
        </w:tc>
      </w:tr>
      <w:tr w:rsidR="00A4604F" w:rsidRPr="00A4604F" w14:paraId="429E63D5" w14:textId="77777777" w:rsidTr="0015347A">
        <w:trPr>
          <w:trHeight w:hRule="exact" w:val="312"/>
        </w:trPr>
        <w:tc>
          <w:tcPr>
            <w:tcW w:w="15016" w:type="dxa"/>
            <w:gridSpan w:val="6"/>
            <w:tcMar>
              <w:top w:w="57" w:type="dxa"/>
              <w:bottom w:w="57" w:type="dxa"/>
            </w:tcMar>
          </w:tcPr>
          <w:p w14:paraId="48FD908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lastRenderedPageBreak/>
              <w:t>Other approaches</w:t>
            </w:r>
          </w:p>
        </w:tc>
      </w:tr>
      <w:tr w:rsidR="00A4604F" w:rsidRPr="00A4604F" w14:paraId="287B26EA" w14:textId="77777777" w:rsidTr="0015347A">
        <w:tc>
          <w:tcPr>
            <w:tcW w:w="2187" w:type="dxa"/>
            <w:tcMar>
              <w:top w:w="57" w:type="dxa"/>
              <w:bottom w:w="57" w:type="dxa"/>
            </w:tcMar>
          </w:tcPr>
          <w:p w14:paraId="5168C59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3B70D1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action/approach</w:t>
            </w:r>
          </w:p>
        </w:tc>
        <w:tc>
          <w:tcPr>
            <w:tcW w:w="3699" w:type="dxa"/>
            <w:tcMar>
              <w:top w:w="57" w:type="dxa"/>
              <w:bottom w:w="57" w:type="dxa"/>
            </w:tcMar>
          </w:tcPr>
          <w:p w14:paraId="722F612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rationale for this choice?</w:t>
            </w:r>
          </w:p>
        </w:tc>
        <w:tc>
          <w:tcPr>
            <w:tcW w:w="3167" w:type="dxa"/>
            <w:tcMar>
              <w:top w:w="57" w:type="dxa"/>
              <w:bottom w:w="57" w:type="dxa"/>
            </w:tcMar>
          </w:tcPr>
          <w:p w14:paraId="1EAFD2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5A19A99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258CE0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implementation?</w:t>
            </w:r>
          </w:p>
        </w:tc>
      </w:tr>
      <w:tr w:rsidR="00A4604F" w:rsidRPr="00A4604F" w14:paraId="2C2EF7EE" w14:textId="77777777" w:rsidTr="0015347A">
        <w:trPr>
          <w:trHeight w:val="310"/>
        </w:trPr>
        <w:tc>
          <w:tcPr>
            <w:tcW w:w="2187" w:type="dxa"/>
            <w:tcMar>
              <w:top w:w="57" w:type="dxa"/>
              <w:bottom w:w="57" w:type="dxa"/>
            </w:tcMar>
          </w:tcPr>
          <w:p w14:paraId="1790A59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Increased attendance rates of DAP children</w:t>
            </w:r>
          </w:p>
        </w:tc>
        <w:tc>
          <w:tcPr>
            <w:tcW w:w="2381" w:type="dxa"/>
            <w:tcMar>
              <w:top w:w="57" w:type="dxa"/>
              <w:bottom w:w="57" w:type="dxa"/>
            </w:tcMar>
          </w:tcPr>
          <w:p w14:paraId="232D6FB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Business Manager to work with Headteacher to monitor attendance of this group of children and act quickly when absences have been recorded.</w:t>
            </w:r>
          </w:p>
        </w:tc>
        <w:tc>
          <w:tcPr>
            <w:tcW w:w="3699" w:type="dxa"/>
            <w:tcMar>
              <w:top w:w="57" w:type="dxa"/>
              <w:bottom w:w="57" w:type="dxa"/>
            </w:tcMar>
          </w:tcPr>
          <w:p w14:paraId="2124965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Attendance rates for children eligible for pupil premium are below 96% for 50% of the group with 12 having historically being below 96% in previous years. The HT and SBM have been working to improve attendance rates across the whole of school with support from Lancashire County Council Attendance Team.</w:t>
            </w:r>
          </w:p>
        </w:tc>
        <w:tc>
          <w:tcPr>
            <w:tcW w:w="3167" w:type="dxa"/>
            <w:tcMar>
              <w:top w:w="57" w:type="dxa"/>
              <w:bottom w:w="57" w:type="dxa"/>
            </w:tcMar>
          </w:tcPr>
          <w:p w14:paraId="13A8DB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with parents to ensure the children are in school as much as possible.</w:t>
            </w:r>
          </w:p>
          <w:p w14:paraId="500251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alongside the school nurse for children who have medical absences relating to the same illness.</w:t>
            </w:r>
          </w:p>
          <w:p w14:paraId="03EB46F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Reviewing attendance of this group termly.</w:t>
            </w:r>
          </w:p>
          <w:p w14:paraId="740D7DB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Reporting information to governors termly.</w:t>
            </w:r>
          </w:p>
          <w:p w14:paraId="449DB4F8"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tcPr>
          <w:p w14:paraId="71346AED" w14:textId="77777777" w:rsid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 xml:space="preserve">Julie Garry, School Business Manager </w:t>
            </w:r>
          </w:p>
          <w:p w14:paraId="0FCF594B" w14:textId="77777777" w:rsidR="00393386" w:rsidRDefault="00393386" w:rsidP="00A4604F">
            <w:pPr>
              <w:suppressAutoHyphens w:val="0"/>
              <w:spacing w:after="0" w:line="240" w:lineRule="auto"/>
              <w:rPr>
                <w:rFonts w:ascii="Arial" w:hAnsi="Arial" w:cs="Arial"/>
                <w:b/>
                <w:color w:val="auto"/>
                <w:sz w:val="22"/>
                <w:szCs w:val="22"/>
              </w:rPr>
            </w:pPr>
          </w:p>
          <w:p w14:paraId="20A13923" w14:textId="07835898" w:rsidR="00393386" w:rsidRPr="00A4604F" w:rsidRDefault="00393386"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Rebecca Caslake – learning mentor</w:t>
            </w:r>
          </w:p>
          <w:p w14:paraId="02F70854" w14:textId="77777777" w:rsidR="00A4604F" w:rsidRPr="00A4604F" w:rsidRDefault="00A4604F" w:rsidP="00A4604F">
            <w:pPr>
              <w:suppressAutoHyphens w:val="0"/>
              <w:spacing w:after="0" w:line="240" w:lineRule="auto"/>
              <w:rPr>
                <w:rFonts w:ascii="Arial" w:hAnsi="Arial" w:cs="Arial"/>
                <w:b/>
                <w:color w:val="auto"/>
                <w:sz w:val="22"/>
                <w:szCs w:val="22"/>
              </w:rPr>
            </w:pPr>
          </w:p>
          <w:p w14:paraId="5A07262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w:t>
            </w:r>
          </w:p>
          <w:p w14:paraId="5F4F8361" w14:textId="77777777" w:rsidR="00A4604F" w:rsidRPr="00A4604F" w:rsidRDefault="00A4604F" w:rsidP="00A4604F">
            <w:pPr>
              <w:suppressAutoHyphens w:val="0"/>
              <w:spacing w:after="0" w:line="240" w:lineRule="auto"/>
              <w:rPr>
                <w:rFonts w:ascii="Arial" w:hAnsi="Arial" w:cs="Arial"/>
                <w:b/>
                <w:color w:val="auto"/>
                <w:sz w:val="22"/>
                <w:szCs w:val="22"/>
              </w:rPr>
            </w:pPr>
          </w:p>
          <w:p w14:paraId="08700F9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Andy Jackson</w:t>
            </w:r>
          </w:p>
        </w:tc>
        <w:tc>
          <w:tcPr>
            <w:tcW w:w="1984" w:type="dxa"/>
          </w:tcPr>
          <w:p w14:paraId="3CC6A82F" w14:textId="6DFACD16" w:rsidR="00A4604F" w:rsidRPr="00A4604F" w:rsidRDefault="00393386"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2022</w:t>
            </w:r>
          </w:p>
        </w:tc>
      </w:tr>
      <w:tr w:rsidR="00A4604F" w:rsidRPr="00A4604F" w14:paraId="7DDEB9F9" w14:textId="77777777" w:rsidTr="0015347A">
        <w:tc>
          <w:tcPr>
            <w:tcW w:w="13032" w:type="dxa"/>
            <w:gridSpan w:val="5"/>
            <w:tcMar>
              <w:top w:w="57" w:type="dxa"/>
              <w:bottom w:w="57" w:type="dxa"/>
            </w:tcMar>
          </w:tcPr>
          <w:p w14:paraId="20EA2BAC" w14:textId="77777777" w:rsidR="00A4604F" w:rsidRPr="00A4604F" w:rsidRDefault="00A4604F" w:rsidP="00A4604F">
            <w:pPr>
              <w:suppressAutoHyphens w:val="0"/>
              <w:spacing w:after="0" w:line="240" w:lineRule="auto"/>
              <w:jc w:val="right"/>
              <w:rPr>
                <w:rFonts w:ascii="Arial" w:hAnsi="Arial" w:cs="Arial"/>
                <w:b/>
                <w:color w:val="auto"/>
                <w:sz w:val="22"/>
                <w:szCs w:val="22"/>
              </w:rPr>
            </w:pPr>
            <w:r w:rsidRPr="00A4604F">
              <w:rPr>
                <w:rFonts w:ascii="Arial" w:hAnsi="Arial" w:cs="Arial"/>
                <w:b/>
                <w:color w:val="auto"/>
                <w:sz w:val="22"/>
                <w:szCs w:val="22"/>
              </w:rPr>
              <w:t>Total budgeted cost</w:t>
            </w:r>
          </w:p>
        </w:tc>
        <w:tc>
          <w:tcPr>
            <w:tcW w:w="1984" w:type="dxa"/>
          </w:tcPr>
          <w:p w14:paraId="529A208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£15 000</w:t>
            </w:r>
          </w:p>
        </w:tc>
      </w:tr>
    </w:tbl>
    <w:p w14:paraId="64918AFA" w14:textId="77777777" w:rsidR="00A4604F" w:rsidRPr="00A4604F" w:rsidRDefault="00A4604F" w:rsidP="00A4604F">
      <w:pPr>
        <w:suppressAutoHyphens w:val="0"/>
        <w:autoSpaceDN/>
        <w:spacing w:after="0" w:line="240" w:lineRule="auto"/>
        <w:rPr>
          <w:rFonts w:eastAsiaTheme="minorHAnsi" w:cs="Arial"/>
          <w:color w:val="auto"/>
          <w:sz w:val="22"/>
          <w:szCs w:val="22"/>
          <w:lang w:eastAsia="en-US"/>
        </w:rPr>
      </w:pPr>
    </w:p>
    <w:p w14:paraId="59247A87" w14:textId="686432AA" w:rsidR="00A4604F" w:rsidRPr="00A4604F" w:rsidRDefault="00A4604F">
      <w:pPr>
        <w:suppressAutoHyphens w:val="0"/>
        <w:spacing w:after="0" w:line="240" w:lineRule="auto"/>
        <w:rPr>
          <w:rFonts w:cs="Arial"/>
          <w:sz w:val="22"/>
          <w:szCs w:val="22"/>
        </w:rPr>
      </w:pPr>
      <w:r w:rsidRPr="00A4604F">
        <w:rPr>
          <w:rFonts w:cs="Arial"/>
          <w:sz w:val="22"/>
          <w:szCs w:val="22"/>
        </w:rPr>
        <w:br w:type="page"/>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p w14:paraId="3FB01176" w14:textId="54D9226D" w:rsidR="00393386" w:rsidRPr="00393386" w:rsidRDefault="00393386">
      <w:pPr>
        <w:rPr>
          <w:b/>
        </w:rPr>
      </w:pPr>
      <w:r w:rsidRPr="00393386">
        <w:rPr>
          <w:b/>
        </w:rPr>
        <w:t>Strategies continue in to 2021/22 due to COVID-19 school closures and the impact of this on PPG attendance, attainment and progress.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4ED44035" w:rsidR="00E66558" w:rsidRDefault="009D71E8" w:rsidP="00393386">
            <w:r>
              <w:rPr>
                <w:i/>
                <w:lang w:eastAsia="en-US"/>
              </w:rPr>
              <w:t>If last year marked the end of a previous pupil premium strategy plan, what is your assessment of h</w:t>
            </w:r>
            <w:r w:rsidR="00393386">
              <w:rPr>
                <w:i/>
                <w:lang w:eastAsia="en-US"/>
              </w:rPr>
              <w:t>o</w:t>
            </w:r>
            <w:r>
              <w:rPr>
                <w:i/>
                <w:lang w:eastAsia="en-US"/>
              </w:rPr>
              <w:t xml:space="preserve">w successfully the intended outcomes of that plan were met? </w:t>
            </w:r>
          </w:p>
        </w:tc>
      </w:tr>
      <w:bookmarkEnd w:id="15"/>
      <w:bookmarkEnd w:id="16"/>
      <w:bookmarkEnd w:id="17"/>
    </w:tbl>
    <w:p w14:paraId="2A7D5564" w14:textId="77777777" w:rsidR="00E66558" w:rsidRDefault="00E66558" w:rsidP="00393386">
      <w:pPr>
        <w:pStyle w:val="Heading1"/>
      </w:pPr>
    </w:p>
    <w:sectPr w:rsidR="00E66558" w:rsidSect="00A4604F">
      <w:headerReference w:type="default" r:id="rId7"/>
      <w:footerReference w:type="default" r:id="rId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CFCE" w14:textId="77777777" w:rsidR="001D389D" w:rsidRDefault="001D389D">
      <w:pPr>
        <w:spacing w:after="0" w:line="240" w:lineRule="auto"/>
      </w:pPr>
      <w:r>
        <w:separator/>
      </w:r>
    </w:p>
  </w:endnote>
  <w:endnote w:type="continuationSeparator" w:id="0">
    <w:p w14:paraId="23058D51" w14:textId="77777777" w:rsidR="001D389D" w:rsidRDefault="001D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B1FC8CB" w:rsidR="0015347A" w:rsidRDefault="0015347A">
    <w:pPr>
      <w:pStyle w:val="Footer"/>
      <w:ind w:firstLine="4513"/>
    </w:pPr>
    <w:r>
      <w:fldChar w:fldCharType="begin"/>
    </w:r>
    <w:r>
      <w:instrText xml:space="preserve"> PAGE </w:instrText>
    </w:r>
    <w:r>
      <w:fldChar w:fldCharType="separate"/>
    </w:r>
    <w:r w:rsidR="00D155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74AA" w14:textId="77777777" w:rsidR="001D389D" w:rsidRDefault="001D389D">
      <w:pPr>
        <w:spacing w:after="0" w:line="240" w:lineRule="auto"/>
      </w:pPr>
      <w:r>
        <w:separator/>
      </w:r>
    </w:p>
  </w:footnote>
  <w:footnote w:type="continuationSeparator" w:id="0">
    <w:p w14:paraId="6B36BF1C" w14:textId="77777777" w:rsidR="001D389D" w:rsidRDefault="001D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5347A" w:rsidRDefault="00153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AEC2016"/>
    <w:multiLevelType w:val="hybridMultilevel"/>
    <w:tmpl w:val="E516FA52"/>
    <w:lvl w:ilvl="0" w:tplc="8A706004">
      <w:start w:val="1"/>
      <w:numFmt w:val="decimal"/>
      <w:lvlText w:val="%1."/>
      <w:lvlJc w:val="left"/>
      <w:pPr>
        <w:ind w:left="417" w:hanging="360"/>
      </w:pPr>
      <w:rPr>
        <w:rFonts w:cs="Arial" w:hint="default"/>
        <w:sz w:val="18"/>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120AB1"/>
    <w:rsid w:val="0015347A"/>
    <w:rsid w:val="001D389D"/>
    <w:rsid w:val="00360456"/>
    <w:rsid w:val="00393386"/>
    <w:rsid w:val="003E7684"/>
    <w:rsid w:val="004044AA"/>
    <w:rsid w:val="006E7FB1"/>
    <w:rsid w:val="00741B9E"/>
    <w:rsid w:val="007C2F04"/>
    <w:rsid w:val="0092717F"/>
    <w:rsid w:val="009D71E8"/>
    <w:rsid w:val="00A4604F"/>
    <w:rsid w:val="00AE0360"/>
    <w:rsid w:val="00BA0AE3"/>
    <w:rsid w:val="00BB3021"/>
    <w:rsid w:val="00D15585"/>
    <w:rsid w:val="00D33FE5"/>
    <w:rsid w:val="00D716B0"/>
    <w:rsid w:val="00E66558"/>
    <w:rsid w:val="00E7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8CB266C-9F6E-4F73-BC5B-3BB1105E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4604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Chris Ginty 2019</cp:lastModifiedBy>
  <cp:revision>3</cp:revision>
  <cp:lastPrinted>2014-09-17T13:26:00Z</cp:lastPrinted>
  <dcterms:created xsi:type="dcterms:W3CDTF">2022-02-01T08:59:00Z</dcterms:created>
  <dcterms:modified xsi:type="dcterms:W3CDTF">2022-02-04T12:02:00Z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