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00C03" w14:textId="089BC2D1" w:rsidR="003D4C4D" w:rsidRDefault="003D4C4D" w:rsidP="003D4C4D">
      <w:bookmarkStart w:id="0" w:name="_Toc522713287"/>
      <w:r w:rsidRPr="004B4A47">
        <w:rPr>
          <w:rFonts w:ascii="Times New Roman" w:hAnsi="Times New Roman" w:cs="Times New Roman"/>
          <w:noProof/>
          <w:lang w:eastAsia="en-GB"/>
        </w:rPr>
        <w:drawing>
          <wp:anchor distT="0" distB="0" distL="114300" distR="114300" simplePos="0" relativeHeight="251661312" behindDoc="1" locked="0" layoutInCell="1" allowOverlap="1" wp14:anchorId="5A8D87F1" wp14:editId="266C75E4">
            <wp:simplePos x="0" y="0"/>
            <wp:positionH relativeFrom="margin">
              <wp:align>center</wp:align>
            </wp:positionH>
            <wp:positionV relativeFrom="paragraph">
              <wp:posOffset>5715</wp:posOffset>
            </wp:positionV>
            <wp:extent cx="2546350" cy="2266950"/>
            <wp:effectExtent l="0" t="0" r="6350" b="0"/>
            <wp:wrapNone/>
            <wp:docPr id="4" name="Picture 4" descr="Description: C:\Users\khogg\AppData\Local\Microsoft\Windows\Temporary Internet Files\Content.Outlook\0EZLQUXW\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hogg\AppData\Local\Microsoft\Windows\Temporary Internet Files\Content.Outlook\0EZLQUXW\W Hogarth Logo Text Curve Colour FINAL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350" cy="2266950"/>
                    </a:xfrm>
                    <a:prstGeom prst="rect">
                      <a:avLst/>
                    </a:prstGeom>
                    <a:noFill/>
                    <a:ln>
                      <a:noFill/>
                    </a:ln>
                  </pic:spPr>
                </pic:pic>
              </a:graphicData>
            </a:graphic>
          </wp:anchor>
        </w:drawing>
      </w:r>
      <w:r>
        <w:tab/>
      </w:r>
    </w:p>
    <w:p w14:paraId="770C23D5" w14:textId="27C791A6" w:rsidR="003D4C4D" w:rsidRDefault="003D4C4D" w:rsidP="003D4C4D"/>
    <w:p w14:paraId="2E2B5D1B" w14:textId="509F9971" w:rsidR="003D4C4D" w:rsidRDefault="003D4C4D" w:rsidP="003D4C4D"/>
    <w:p w14:paraId="15CE6C94" w14:textId="2B282C27" w:rsidR="003D4C4D" w:rsidRDefault="003D4C4D" w:rsidP="003D4C4D"/>
    <w:p w14:paraId="3F32AB76" w14:textId="15E898CC" w:rsidR="003D4C4D" w:rsidRDefault="003D4C4D" w:rsidP="003D4C4D"/>
    <w:p w14:paraId="173A962A" w14:textId="3D9F8ABF" w:rsidR="003D4C4D" w:rsidRDefault="003D4C4D" w:rsidP="003D4C4D"/>
    <w:p w14:paraId="2C9A91C9" w14:textId="40D7A20A" w:rsidR="003D4C4D" w:rsidRDefault="003D4C4D" w:rsidP="003D4C4D"/>
    <w:p w14:paraId="2B702131" w14:textId="07B61A30" w:rsidR="003D4C4D" w:rsidRDefault="003D4C4D" w:rsidP="003D4C4D"/>
    <w:p w14:paraId="031B3C87" w14:textId="06F13A1B" w:rsidR="003D4C4D" w:rsidRDefault="00767827" w:rsidP="003D4C4D">
      <w:pPr>
        <w:tabs>
          <w:tab w:val="left" w:pos="3525"/>
        </w:tabs>
        <w:jc w:val="center"/>
        <w:rPr>
          <w:rFonts w:cs="Times New Roman"/>
          <w:sz w:val="144"/>
          <w:szCs w:val="24"/>
        </w:rPr>
      </w:pPr>
      <w:r>
        <w:rPr>
          <w:rFonts w:cs="Times New Roman"/>
          <w:sz w:val="144"/>
          <w:szCs w:val="24"/>
        </w:rPr>
        <w:t>Charging &amp; Remissions</w:t>
      </w:r>
      <w:r w:rsidR="003D4C4D" w:rsidRPr="00942AB6">
        <w:rPr>
          <w:rFonts w:cs="Times New Roman"/>
          <w:sz w:val="144"/>
          <w:szCs w:val="24"/>
        </w:rPr>
        <w:t xml:space="preserve"> Policy</w:t>
      </w:r>
    </w:p>
    <w:p w14:paraId="3F92AB1F" w14:textId="77777777" w:rsidR="003D4C4D" w:rsidRDefault="003D4C4D" w:rsidP="003D4C4D">
      <w:pPr>
        <w:tabs>
          <w:tab w:val="left" w:pos="3525"/>
        </w:tabs>
        <w:jc w:val="center"/>
        <w:rPr>
          <w:rFonts w:cs="Times New Roman"/>
          <w:sz w:val="144"/>
          <w:szCs w:val="24"/>
        </w:rPr>
      </w:pPr>
    </w:p>
    <w:p w14:paraId="284A5B4E" w14:textId="192E807B" w:rsidR="003D4C4D" w:rsidRPr="00942AB6" w:rsidRDefault="003D4C4D" w:rsidP="003D4C4D">
      <w:pPr>
        <w:tabs>
          <w:tab w:val="left" w:pos="3525"/>
        </w:tabs>
        <w:rPr>
          <w:rFonts w:cs="Times New Roman"/>
          <w:sz w:val="28"/>
          <w:szCs w:val="24"/>
        </w:rPr>
      </w:pPr>
      <w:r w:rsidRPr="00942AB6">
        <w:rPr>
          <w:rFonts w:cs="Times New Roman"/>
          <w:sz w:val="28"/>
          <w:szCs w:val="24"/>
        </w:rPr>
        <w:t xml:space="preserve">Reviewed By: </w:t>
      </w:r>
      <w:r w:rsidR="00DA2158">
        <w:rPr>
          <w:rFonts w:cs="Times New Roman"/>
          <w:sz w:val="28"/>
          <w:szCs w:val="24"/>
        </w:rPr>
        <w:t>Headteacher</w:t>
      </w:r>
      <w:r w:rsidR="00DA2158">
        <w:rPr>
          <w:rFonts w:cs="Times New Roman"/>
          <w:sz w:val="28"/>
          <w:szCs w:val="24"/>
        </w:rPr>
        <w:tab/>
      </w:r>
      <w:r w:rsidR="00DA2158">
        <w:rPr>
          <w:rFonts w:cs="Times New Roman"/>
          <w:sz w:val="28"/>
          <w:szCs w:val="24"/>
        </w:rPr>
        <w:tab/>
      </w:r>
      <w:r w:rsidR="00DA2158">
        <w:rPr>
          <w:rFonts w:cs="Times New Roman"/>
          <w:sz w:val="28"/>
          <w:szCs w:val="24"/>
        </w:rPr>
        <w:tab/>
      </w:r>
      <w:r w:rsidR="00DA2158">
        <w:rPr>
          <w:rFonts w:cs="Times New Roman"/>
          <w:sz w:val="28"/>
          <w:szCs w:val="24"/>
        </w:rPr>
        <w:tab/>
      </w:r>
      <w:r w:rsidR="00DA2158">
        <w:rPr>
          <w:rFonts w:cs="Times New Roman"/>
          <w:sz w:val="28"/>
          <w:szCs w:val="24"/>
        </w:rPr>
        <w:tab/>
      </w:r>
      <w:r w:rsidR="00DA2158">
        <w:rPr>
          <w:rFonts w:cs="Times New Roman"/>
          <w:sz w:val="28"/>
          <w:szCs w:val="24"/>
        </w:rPr>
        <w:tab/>
      </w:r>
      <w:r w:rsidR="00DA2158">
        <w:rPr>
          <w:rFonts w:cs="Times New Roman"/>
          <w:sz w:val="28"/>
          <w:szCs w:val="24"/>
        </w:rPr>
        <w:tab/>
      </w:r>
      <w:r w:rsidRPr="00942AB6">
        <w:rPr>
          <w:rFonts w:cs="Times New Roman"/>
          <w:sz w:val="28"/>
          <w:szCs w:val="24"/>
        </w:rPr>
        <w:t xml:space="preserve">Date: </w:t>
      </w:r>
      <w:r w:rsidR="000D05BB">
        <w:rPr>
          <w:rFonts w:cs="Times New Roman"/>
          <w:sz w:val="28"/>
          <w:szCs w:val="24"/>
        </w:rPr>
        <w:t>September</w:t>
      </w:r>
      <w:r w:rsidRPr="00942AB6">
        <w:rPr>
          <w:rFonts w:cs="Times New Roman"/>
          <w:sz w:val="28"/>
          <w:szCs w:val="24"/>
        </w:rPr>
        <w:t xml:space="preserve"> 20</w:t>
      </w:r>
      <w:r w:rsidR="00AD0C04">
        <w:rPr>
          <w:rFonts w:cs="Times New Roman"/>
          <w:sz w:val="28"/>
          <w:szCs w:val="24"/>
        </w:rPr>
        <w:t>21</w:t>
      </w:r>
    </w:p>
    <w:p w14:paraId="479D7F2D" w14:textId="6DF57E04" w:rsidR="003D4C4D" w:rsidRPr="00942AB6" w:rsidRDefault="003D4C4D" w:rsidP="003D4C4D">
      <w:pPr>
        <w:tabs>
          <w:tab w:val="left" w:pos="3525"/>
        </w:tabs>
        <w:rPr>
          <w:rFonts w:cs="Times New Roman"/>
          <w:sz w:val="28"/>
          <w:szCs w:val="24"/>
        </w:rPr>
      </w:pPr>
      <w:r w:rsidRPr="00942AB6">
        <w:rPr>
          <w:rFonts w:cs="Times New Roman"/>
          <w:sz w:val="28"/>
          <w:szCs w:val="24"/>
        </w:rPr>
        <w:t xml:space="preserve">Ratified By:  </w:t>
      </w:r>
      <w:r w:rsidR="00DA2158">
        <w:rPr>
          <w:rFonts w:cs="Times New Roman"/>
          <w:sz w:val="28"/>
          <w:szCs w:val="24"/>
        </w:rPr>
        <w:t>Governing Board</w:t>
      </w:r>
      <w:r w:rsidR="00DA2158">
        <w:rPr>
          <w:rFonts w:cs="Times New Roman"/>
          <w:sz w:val="28"/>
          <w:szCs w:val="24"/>
        </w:rPr>
        <w:tab/>
      </w:r>
      <w:r w:rsidR="00DA2158">
        <w:rPr>
          <w:rFonts w:cs="Times New Roman"/>
          <w:sz w:val="28"/>
          <w:szCs w:val="24"/>
        </w:rPr>
        <w:tab/>
      </w:r>
      <w:r w:rsidR="00DA2158">
        <w:rPr>
          <w:rFonts w:cs="Times New Roman"/>
          <w:sz w:val="28"/>
          <w:szCs w:val="24"/>
        </w:rPr>
        <w:tab/>
      </w:r>
      <w:r w:rsidR="00DA2158">
        <w:rPr>
          <w:rFonts w:cs="Times New Roman"/>
          <w:sz w:val="28"/>
          <w:szCs w:val="24"/>
        </w:rPr>
        <w:tab/>
      </w:r>
      <w:r w:rsidR="00DA2158">
        <w:rPr>
          <w:rFonts w:cs="Times New Roman"/>
          <w:sz w:val="28"/>
          <w:szCs w:val="24"/>
        </w:rPr>
        <w:tab/>
      </w:r>
      <w:r w:rsidR="00DA2158">
        <w:rPr>
          <w:rFonts w:cs="Times New Roman"/>
          <w:sz w:val="28"/>
          <w:szCs w:val="24"/>
        </w:rPr>
        <w:tab/>
      </w:r>
      <w:r w:rsidR="00DA2158">
        <w:rPr>
          <w:rFonts w:cs="Times New Roman"/>
          <w:sz w:val="28"/>
          <w:szCs w:val="24"/>
        </w:rPr>
        <w:tab/>
      </w:r>
      <w:r>
        <w:rPr>
          <w:rFonts w:cs="Times New Roman"/>
          <w:sz w:val="28"/>
          <w:szCs w:val="24"/>
        </w:rPr>
        <w:t>D</w:t>
      </w:r>
      <w:r w:rsidRPr="00942AB6">
        <w:rPr>
          <w:rFonts w:cs="Times New Roman"/>
          <w:sz w:val="28"/>
          <w:szCs w:val="24"/>
        </w:rPr>
        <w:t>ate:</w:t>
      </w:r>
      <w:r w:rsidR="00FF0C53">
        <w:rPr>
          <w:rFonts w:cs="Times New Roman"/>
          <w:sz w:val="28"/>
          <w:szCs w:val="24"/>
        </w:rPr>
        <w:t xml:space="preserve"> </w:t>
      </w:r>
      <w:r w:rsidR="00AD0C04">
        <w:rPr>
          <w:rFonts w:cs="Times New Roman"/>
          <w:sz w:val="28"/>
          <w:szCs w:val="24"/>
        </w:rPr>
        <w:t>April 2023</w:t>
      </w:r>
    </w:p>
    <w:p w14:paraId="0024B1E6" w14:textId="783BC97D" w:rsidR="003D4C4D" w:rsidRPr="00942AB6" w:rsidRDefault="003D4C4D" w:rsidP="003D4C4D">
      <w:pPr>
        <w:tabs>
          <w:tab w:val="left" w:pos="3525"/>
        </w:tabs>
        <w:rPr>
          <w:rFonts w:cs="Times New Roman"/>
          <w:sz w:val="28"/>
          <w:szCs w:val="24"/>
        </w:rPr>
      </w:pPr>
      <w:r w:rsidRPr="00942AB6">
        <w:rPr>
          <w:rFonts w:cs="Times New Roman"/>
          <w:sz w:val="28"/>
          <w:szCs w:val="24"/>
        </w:rPr>
        <w:t xml:space="preserve">Date of next review: </w:t>
      </w:r>
      <w:r w:rsidR="00FF0C53">
        <w:rPr>
          <w:rFonts w:cs="Times New Roman"/>
          <w:sz w:val="28"/>
          <w:szCs w:val="24"/>
        </w:rPr>
        <w:t xml:space="preserve"> </w:t>
      </w:r>
      <w:r w:rsidR="00DA2158">
        <w:rPr>
          <w:rFonts w:cs="Times New Roman"/>
          <w:sz w:val="28"/>
          <w:szCs w:val="24"/>
        </w:rPr>
        <w:t>April</w:t>
      </w:r>
      <w:r w:rsidR="00FF0C53">
        <w:rPr>
          <w:rFonts w:cs="Times New Roman"/>
          <w:sz w:val="28"/>
          <w:szCs w:val="24"/>
        </w:rPr>
        <w:t xml:space="preserve"> 202</w:t>
      </w:r>
      <w:r w:rsidR="00DA2158">
        <w:rPr>
          <w:rFonts w:cs="Times New Roman"/>
          <w:sz w:val="28"/>
          <w:szCs w:val="24"/>
        </w:rPr>
        <w:t>4</w:t>
      </w:r>
    </w:p>
    <w:p w14:paraId="2C957512" w14:textId="77777777" w:rsidR="00E161CC" w:rsidRPr="004B740D" w:rsidRDefault="00E161CC" w:rsidP="00C653E8">
      <w:pPr>
        <w:pStyle w:val="Heading1"/>
        <w:rPr>
          <w:rFonts w:cstheme="minorHAnsi"/>
        </w:rPr>
      </w:pPr>
      <w:bookmarkStart w:id="1" w:name="_Toc522713294"/>
      <w:bookmarkStart w:id="2" w:name="_Toc133061080"/>
      <w:bookmarkEnd w:id="0"/>
      <w:r w:rsidRPr="004B740D">
        <w:rPr>
          <w:rFonts w:cstheme="minorHAnsi"/>
        </w:rPr>
        <w:lastRenderedPageBreak/>
        <w:t>Contents</w:t>
      </w:r>
      <w:bookmarkEnd w:id="1"/>
      <w:bookmarkEnd w:id="2"/>
      <w:r w:rsidRPr="004B740D">
        <w:rPr>
          <w:rFonts w:cstheme="minorHAnsi"/>
        </w:rPr>
        <w:t xml:space="preserve"> </w:t>
      </w:r>
    </w:p>
    <w:sdt>
      <w:sdtPr>
        <w:rPr>
          <w:rFonts w:asciiTheme="minorHAnsi" w:eastAsiaTheme="minorHAnsi" w:hAnsiTheme="minorHAnsi" w:cstheme="minorBidi"/>
          <w:color w:val="auto"/>
          <w:sz w:val="24"/>
          <w:szCs w:val="22"/>
          <w:lang w:val="en-GB"/>
        </w:rPr>
        <w:id w:val="1864628985"/>
        <w:docPartObj>
          <w:docPartGallery w:val="Table of Contents"/>
          <w:docPartUnique/>
        </w:docPartObj>
      </w:sdtPr>
      <w:sdtEndPr>
        <w:rPr>
          <w:b/>
          <w:bCs/>
          <w:noProof/>
        </w:rPr>
      </w:sdtEndPr>
      <w:sdtContent>
        <w:p w14:paraId="246144BC" w14:textId="449E3358" w:rsidR="005113E6" w:rsidRDefault="005113E6">
          <w:pPr>
            <w:pStyle w:val="TOCHeading"/>
          </w:pPr>
        </w:p>
        <w:p w14:paraId="76EB51C1" w14:textId="5C706507" w:rsidR="00D06BBE" w:rsidRDefault="005113E6">
          <w:pPr>
            <w:pStyle w:val="TOC1"/>
            <w:tabs>
              <w:tab w:val="right" w:leader="dot" w:pos="10082"/>
            </w:tabs>
            <w:rPr>
              <w:rFonts w:eastAsiaTheme="minorEastAsia"/>
              <w:noProof/>
              <w:sz w:val="22"/>
              <w:lang w:eastAsia="en-GB"/>
            </w:rPr>
          </w:pPr>
          <w:r>
            <w:fldChar w:fldCharType="begin"/>
          </w:r>
          <w:r>
            <w:instrText xml:space="preserve"> TOC \o "1-3" \h \z \u </w:instrText>
          </w:r>
          <w:r>
            <w:fldChar w:fldCharType="separate"/>
          </w:r>
          <w:hyperlink w:anchor="_Toc133061080" w:history="1">
            <w:r w:rsidR="00D06BBE" w:rsidRPr="00CB1687">
              <w:rPr>
                <w:rStyle w:val="Hyperlink"/>
                <w:rFonts w:cstheme="minorHAnsi"/>
                <w:noProof/>
              </w:rPr>
              <w:t>Contents</w:t>
            </w:r>
            <w:r w:rsidR="00D06BBE">
              <w:rPr>
                <w:noProof/>
                <w:webHidden/>
              </w:rPr>
              <w:tab/>
            </w:r>
            <w:r w:rsidR="00D06BBE">
              <w:rPr>
                <w:noProof/>
                <w:webHidden/>
              </w:rPr>
              <w:fldChar w:fldCharType="begin"/>
            </w:r>
            <w:r w:rsidR="00D06BBE">
              <w:rPr>
                <w:noProof/>
                <w:webHidden/>
              </w:rPr>
              <w:instrText xml:space="preserve"> PAGEREF _Toc133061080 \h </w:instrText>
            </w:r>
            <w:r w:rsidR="00D06BBE">
              <w:rPr>
                <w:noProof/>
                <w:webHidden/>
              </w:rPr>
            </w:r>
            <w:r w:rsidR="00D06BBE">
              <w:rPr>
                <w:noProof/>
                <w:webHidden/>
              </w:rPr>
              <w:fldChar w:fldCharType="separate"/>
            </w:r>
            <w:r w:rsidR="00D06BBE">
              <w:rPr>
                <w:noProof/>
                <w:webHidden/>
              </w:rPr>
              <w:t>2</w:t>
            </w:r>
            <w:r w:rsidR="00D06BBE">
              <w:rPr>
                <w:noProof/>
                <w:webHidden/>
              </w:rPr>
              <w:fldChar w:fldCharType="end"/>
            </w:r>
          </w:hyperlink>
        </w:p>
        <w:p w14:paraId="3CAC5F76" w14:textId="0D793D1D" w:rsidR="00D06BBE" w:rsidRDefault="00D06BBE">
          <w:pPr>
            <w:pStyle w:val="TOC1"/>
            <w:tabs>
              <w:tab w:val="right" w:leader="dot" w:pos="10082"/>
            </w:tabs>
            <w:rPr>
              <w:rFonts w:eastAsiaTheme="minorEastAsia"/>
              <w:noProof/>
              <w:sz w:val="22"/>
              <w:lang w:eastAsia="en-GB"/>
            </w:rPr>
          </w:pPr>
          <w:hyperlink w:anchor="_Toc133061081" w:history="1">
            <w:r w:rsidRPr="00CB1687">
              <w:rPr>
                <w:rStyle w:val="Hyperlink"/>
                <w:rFonts w:cstheme="minorHAnsi"/>
                <w:noProof/>
              </w:rPr>
              <w:t>Introduction</w:t>
            </w:r>
            <w:r>
              <w:rPr>
                <w:noProof/>
                <w:webHidden/>
              </w:rPr>
              <w:tab/>
            </w:r>
            <w:r>
              <w:rPr>
                <w:noProof/>
                <w:webHidden/>
              </w:rPr>
              <w:fldChar w:fldCharType="begin"/>
            </w:r>
            <w:r>
              <w:rPr>
                <w:noProof/>
                <w:webHidden/>
              </w:rPr>
              <w:instrText xml:space="preserve"> PAGEREF _Toc133061081 \h </w:instrText>
            </w:r>
            <w:r>
              <w:rPr>
                <w:noProof/>
                <w:webHidden/>
              </w:rPr>
            </w:r>
            <w:r>
              <w:rPr>
                <w:noProof/>
                <w:webHidden/>
              </w:rPr>
              <w:fldChar w:fldCharType="separate"/>
            </w:r>
            <w:r>
              <w:rPr>
                <w:noProof/>
                <w:webHidden/>
              </w:rPr>
              <w:t>2</w:t>
            </w:r>
            <w:r>
              <w:rPr>
                <w:noProof/>
                <w:webHidden/>
              </w:rPr>
              <w:fldChar w:fldCharType="end"/>
            </w:r>
          </w:hyperlink>
        </w:p>
        <w:p w14:paraId="3BD6FF92" w14:textId="0A0D6E1F" w:rsidR="00D06BBE" w:rsidRDefault="00D06BBE">
          <w:pPr>
            <w:pStyle w:val="TOC2"/>
            <w:tabs>
              <w:tab w:val="right" w:leader="dot" w:pos="10082"/>
            </w:tabs>
            <w:rPr>
              <w:rFonts w:eastAsiaTheme="minorEastAsia"/>
              <w:noProof/>
              <w:sz w:val="22"/>
              <w:lang w:eastAsia="en-GB"/>
            </w:rPr>
          </w:pPr>
          <w:hyperlink w:anchor="_Toc133061082" w:history="1">
            <w:r w:rsidRPr="00CB1687">
              <w:rPr>
                <w:rStyle w:val="Hyperlink"/>
                <w:noProof/>
              </w:rPr>
              <w:t>Aims</w:t>
            </w:r>
            <w:r>
              <w:rPr>
                <w:noProof/>
                <w:webHidden/>
              </w:rPr>
              <w:tab/>
            </w:r>
            <w:r>
              <w:rPr>
                <w:noProof/>
                <w:webHidden/>
              </w:rPr>
              <w:fldChar w:fldCharType="begin"/>
            </w:r>
            <w:r>
              <w:rPr>
                <w:noProof/>
                <w:webHidden/>
              </w:rPr>
              <w:instrText xml:space="preserve"> PAGEREF _Toc133061082 \h </w:instrText>
            </w:r>
            <w:r>
              <w:rPr>
                <w:noProof/>
                <w:webHidden/>
              </w:rPr>
            </w:r>
            <w:r>
              <w:rPr>
                <w:noProof/>
                <w:webHidden/>
              </w:rPr>
              <w:fldChar w:fldCharType="separate"/>
            </w:r>
            <w:r>
              <w:rPr>
                <w:noProof/>
                <w:webHidden/>
              </w:rPr>
              <w:t>2</w:t>
            </w:r>
            <w:r>
              <w:rPr>
                <w:noProof/>
                <w:webHidden/>
              </w:rPr>
              <w:fldChar w:fldCharType="end"/>
            </w:r>
          </w:hyperlink>
        </w:p>
        <w:p w14:paraId="42174560" w14:textId="31B6CF6F" w:rsidR="00D06BBE" w:rsidRDefault="00D06BBE">
          <w:pPr>
            <w:pStyle w:val="TOC2"/>
            <w:tabs>
              <w:tab w:val="right" w:leader="dot" w:pos="10082"/>
            </w:tabs>
            <w:rPr>
              <w:rFonts w:eastAsiaTheme="minorEastAsia"/>
              <w:noProof/>
              <w:sz w:val="22"/>
              <w:lang w:eastAsia="en-GB"/>
            </w:rPr>
          </w:pPr>
          <w:hyperlink w:anchor="_Toc133061083" w:history="1">
            <w:r w:rsidRPr="00CB1687">
              <w:rPr>
                <w:rStyle w:val="Hyperlink"/>
                <w:noProof/>
              </w:rPr>
              <w:t>Legislation &amp; Guidance</w:t>
            </w:r>
            <w:r>
              <w:rPr>
                <w:noProof/>
                <w:webHidden/>
              </w:rPr>
              <w:tab/>
            </w:r>
            <w:r>
              <w:rPr>
                <w:noProof/>
                <w:webHidden/>
              </w:rPr>
              <w:fldChar w:fldCharType="begin"/>
            </w:r>
            <w:r>
              <w:rPr>
                <w:noProof/>
                <w:webHidden/>
              </w:rPr>
              <w:instrText xml:space="preserve"> PAGEREF _Toc133061083 \h </w:instrText>
            </w:r>
            <w:r>
              <w:rPr>
                <w:noProof/>
                <w:webHidden/>
              </w:rPr>
            </w:r>
            <w:r>
              <w:rPr>
                <w:noProof/>
                <w:webHidden/>
              </w:rPr>
              <w:fldChar w:fldCharType="separate"/>
            </w:r>
            <w:r>
              <w:rPr>
                <w:noProof/>
                <w:webHidden/>
              </w:rPr>
              <w:t>3</w:t>
            </w:r>
            <w:r>
              <w:rPr>
                <w:noProof/>
                <w:webHidden/>
              </w:rPr>
              <w:fldChar w:fldCharType="end"/>
            </w:r>
          </w:hyperlink>
        </w:p>
        <w:p w14:paraId="11CD5CB4" w14:textId="4F3315BB" w:rsidR="00D06BBE" w:rsidRDefault="00D06BBE">
          <w:pPr>
            <w:pStyle w:val="TOC2"/>
            <w:tabs>
              <w:tab w:val="right" w:leader="dot" w:pos="10082"/>
            </w:tabs>
            <w:rPr>
              <w:rFonts w:eastAsiaTheme="minorEastAsia"/>
              <w:noProof/>
              <w:sz w:val="22"/>
              <w:lang w:eastAsia="en-GB"/>
            </w:rPr>
          </w:pPr>
          <w:hyperlink w:anchor="_Toc133061084" w:history="1">
            <w:r w:rsidRPr="00CB1687">
              <w:rPr>
                <w:rStyle w:val="Hyperlink"/>
                <w:noProof/>
              </w:rPr>
              <w:t>Definitions</w:t>
            </w:r>
            <w:r>
              <w:rPr>
                <w:noProof/>
                <w:webHidden/>
              </w:rPr>
              <w:tab/>
            </w:r>
            <w:r>
              <w:rPr>
                <w:noProof/>
                <w:webHidden/>
              </w:rPr>
              <w:fldChar w:fldCharType="begin"/>
            </w:r>
            <w:r>
              <w:rPr>
                <w:noProof/>
                <w:webHidden/>
              </w:rPr>
              <w:instrText xml:space="preserve"> PAGEREF _Toc133061084 \h </w:instrText>
            </w:r>
            <w:r>
              <w:rPr>
                <w:noProof/>
                <w:webHidden/>
              </w:rPr>
            </w:r>
            <w:r>
              <w:rPr>
                <w:noProof/>
                <w:webHidden/>
              </w:rPr>
              <w:fldChar w:fldCharType="separate"/>
            </w:r>
            <w:r>
              <w:rPr>
                <w:noProof/>
                <w:webHidden/>
              </w:rPr>
              <w:t>3</w:t>
            </w:r>
            <w:r>
              <w:rPr>
                <w:noProof/>
                <w:webHidden/>
              </w:rPr>
              <w:fldChar w:fldCharType="end"/>
            </w:r>
          </w:hyperlink>
        </w:p>
        <w:p w14:paraId="0E6A1D4A" w14:textId="32688040" w:rsidR="00D06BBE" w:rsidRDefault="00D06BBE">
          <w:pPr>
            <w:pStyle w:val="TOC1"/>
            <w:tabs>
              <w:tab w:val="right" w:leader="dot" w:pos="10082"/>
            </w:tabs>
            <w:rPr>
              <w:rFonts w:eastAsiaTheme="minorEastAsia"/>
              <w:noProof/>
              <w:sz w:val="22"/>
              <w:lang w:eastAsia="en-GB"/>
            </w:rPr>
          </w:pPr>
          <w:hyperlink w:anchor="_Toc133061085" w:history="1">
            <w:r w:rsidRPr="00CB1687">
              <w:rPr>
                <w:rStyle w:val="Hyperlink"/>
                <w:rFonts w:cstheme="minorHAnsi"/>
                <w:noProof/>
              </w:rPr>
              <w:t>Review and responsibilities</w:t>
            </w:r>
            <w:r>
              <w:rPr>
                <w:noProof/>
                <w:webHidden/>
              </w:rPr>
              <w:tab/>
            </w:r>
            <w:r>
              <w:rPr>
                <w:noProof/>
                <w:webHidden/>
              </w:rPr>
              <w:fldChar w:fldCharType="begin"/>
            </w:r>
            <w:r>
              <w:rPr>
                <w:noProof/>
                <w:webHidden/>
              </w:rPr>
              <w:instrText xml:space="preserve"> PAGEREF _Toc133061085 \h </w:instrText>
            </w:r>
            <w:r>
              <w:rPr>
                <w:noProof/>
                <w:webHidden/>
              </w:rPr>
            </w:r>
            <w:r>
              <w:rPr>
                <w:noProof/>
                <w:webHidden/>
              </w:rPr>
              <w:fldChar w:fldCharType="separate"/>
            </w:r>
            <w:r>
              <w:rPr>
                <w:noProof/>
                <w:webHidden/>
              </w:rPr>
              <w:t>3</w:t>
            </w:r>
            <w:r>
              <w:rPr>
                <w:noProof/>
                <w:webHidden/>
              </w:rPr>
              <w:fldChar w:fldCharType="end"/>
            </w:r>
          </w:hyperlink>
        </w:p>
        <w:p w14:paraId="17F266B1" w14:textId="117EE913" w:rsidR="00D06BBE" w:rsidRDefault="00D06BBE">
          <w:pPr>
            <w:pStyle w:val="TOC2"/>
            <w:tabs>
              <w:tab w:val="right" w:leader="dot" w:pos="10082"/>
            </w:tabs>
            <w:rPr>
              <w:rFonts w:eastAsiaTheme="minorEastAsia"/>
              <w:noProof/>
              <w:sz w:val="22"/>
              <w:lang w:eastAsia="en-GB"/>
            </w:rPr>
          </w:pPr>
          <w:hyperlink w:anchor="_Toc133061086" w:history="1">
            <w:r w:rsidRPr="00CB1687">
              <w:rPr>
                <w:rStyle w:val="Hyperlink"/>
                <w:noProof/>
              </w:rPr>
              <w:t>The Governing Board</w:t>
            </w:r>
            <w:r>
              <w:rPr>
                <w:noProof/>
                <w:webHidden/>
              </w:rPr>
              <w:tab/>
            </w:r>
            <w:r>
              <w:rPr>
                <w:noProof/>
                <w:webHidden/>
              </w:rPr>
              <w:fldChar w:fldCharType="begin"/>
            </w:r>
            <w:r>
              <w:rPr>
                <w:noProof/>
                <w:webHidden/>
              </w:rPr>
              <w:instrText xml:space="preserve"> PAGEREF _Toc133061086 \h </w:instrText>
            </w:r>
            <w:r>
              <w:rPr>
                <w:noProof/>
                <w:webHidden/>
              </w:rPr>
            </w:r>
            <w:r>
              <w:rPr>
                <w:noProof/>
                <w:webHidden/>
              </w:rPr>
              <w:fldChar w:fldCharType="separate"/>
            </w:r>
            <w:r>
              <w:rPr>
                <w:noProof/>
                <w:webHidden/>
              </w:rPr>
              <w:t>3</w:t>
            </w:r>
            <w:r>
              <w:rPr>
                <w:noProof/>
                <w:webHidden/>
              </w:rPr>
              <w:fldChar w:fldCharType="end"/>
            </w:r>
          </w:hyperlink>
        </w:p>
        <w:p w14:paraId="495A60BA" w14:textId="40447E7E" w:rsidR="00D06BBE" w:rsidRDefault="00D06BBE">
          <w:pPr>
            <w:pStyle w:val="TOC2"/>
            <w:tabs>
              <w:tab w:val="right" w:leader="dot" w:pos="10082"/>
            </w:tabs>
            <w:rPr>
              <w:rFonts w:eastAsiaTheme="minorEastAsia"/>
              <w:noProof/>
              <w:sz w:val="22"/>
              <w:lang w:eastAsia="en-GB"/>
            </w:rPr>
          </w:pPr>
          <w:hyperlink w:anchor="_Toc133061087" w:history="1">
            <w:r w:rsidRPr="00CB1687">
              <w:rPr>
                <w:rStyle w:val="Hyperlink"/>
                <w:noProof/>
              </w:rPr>
              <w:t>The Headteacher</w:t>
            </w:r>
            <w:r>
              <w:rPr>
                <w:noProof/>
                <w:webHidden/>
              </w:rPr>
              <w:tab/>
            </w:r>
            <w:r>
              <w:rPr>
                <w:noProof/>
                <w:webHidden/>
              </w:rPr>
              <w:fldChar w:fldCharType="begin"/>
            </w:r>
            <w:r>
              <w:rPr>
                <w:noProof/>
                <w:webHidden/>
              </w:rPr>
              <w:instrText xml:space="preserve"> PAGEREF _Toc133061087 \h </w:instrText>
            </w:r>
            <w:r>
              <w:rPr>
                <w:noProof/>
                <w:webHidden/>
              </w:rPr>
            </w:r>
            <w:r>
              <w:rPr>
                <w:noProof/>
                <w:webHidden/>
              </w:rPr>
              <w:fldChar w:fldCharType="separate"/>
            </w:r>
            <w:r>
              <w:rPr>
                <w:noProof/>
                <w:webHidden/>
              </w:rPr>
              <w:t>3</w:t>
            </w:r>
            <w:r>
              <w:rPr>
                <w:noProof/>
                <w:webHidden/>
              </w:rPr>
              <w:fldChar w:fldCharType="end"/>
            </w:r>
          </w:hyperlink>
        </w:p>
        <w:p w14:paraId="2B3DA3E7" w14:textId="49836F45" w:rsidR="00D06BBE" w:rsidRDefault="00D06BBE">
          <w:pPr>
            <w:pStyle w:val="TOC2"/>
            <w:tabs>
              <w:tab w:val="right" w:leader="dot" w:pos="10082"/>
            </w:tabs>
            <w:rPr>
              <w:rFonts w:eastAsiaTheme="minorEastAsia"/>
              <w:noProof/>
              <w:sz w:val="22"/>
              <w:lang w:eastAsia="en-GB"/>
            </w:rPr>
          </w:pPr>
          <w:hyperlink w:anchor="_Toc133061088" w:history="1">
            <w:r w:rsidRPr="00CB1687">
              <w:rPr>
                <w:rStyle w:val="Hyperlink"/>
                <w:noProof/>
              </w:rPr>
              <w:t>Staff</w:t>
            </w:r>
            <w:r>
              <w:rPr>
                <w:noProof/>
                <w:webHidden/>
              </w:rPr>
              <w:tab/>
            </w:r>
            <w:r>
              <w:rPr>
                <w:noProof/>
                <w:webHidden/>
              </w:rPr>
              <w:fldChar w:fldCharType="begin"/>
            </w:r>
            <w:r>
              <w:rPr>
                <w:noProof/>
                <w:webHidden/>
              </w:rPr>
              <w:instrText xml:space="preserve"> PAGEREF _Toc133061088 \h </w:instrText>
            </w:r>
            <w:r>
              <w:rPr>
                <w:noProof/>
                <w:webHidden/>
              </w:rPr>
            </w:r>
            <w:r>
              <w:rPr>
                <w:noProof/>
                <w:webHidden/>
              </w:rPr>
              <w:fldChar w:fldCharType="separate"/>
            </w:r>
            <w:r>
              <w:rPr>
                <w:noProof/>
                <w:webHidden/>
              </w:rPr>
              <w:t>3</w:t>
            </w:r>
            <w:r>
              <w:rPr>
                <w:noProof/>
                <w:webHidden/>
              </w:rPr>
              <w:fldChar w:fldCharType="end"/>
            </w:r>
          </w:hyperlink>
        </w:p>
        <w:p w14:paraId="76C590B5" w14:textId="6092C4D0" w:rsidR="00D06BBE" w:rsidRDefault="00D06BBE">
          <w:pPr>
            <w:pStyle w:val="TOC2"/>
            <w:tabs>
              <w:tab w:val="right" w:leader="dot" w:pos="10082"/>
            </w:tabs>
            <w:rPr>
              <w:rFonts w:eastAsiaTheme="minorEastAsia"/>
              <w:noProof/>
              <w:sz w:val="22"/>
              <w:lang w:eastAsia="en-GB"/>
            </w:rPr>
          </w:pPr>
          <w:hyperlink w:anchor="_Toc133061089" w:history="1">
            <w:r w:rsidRPr="00CB1687">
              <w:rPr>
                <w:rStyle w:val="Hyperlink"/>
                <w:noProof/>
              </w:rPr>
              <w:t>Parents</w:t>
            </w:r>
            <w:r>
              <w:rPr>
                <w:noProof/>
                <w:webHidden/>
              </w:rPr>
              <w:tab/>
            </w:r>
            <w:r>
              <w:rPr>
                <w:noProof/>
                <w:webHidden/>
              </w:rPr>
              <w:fldChar w:fldCharType="begin"/>
            </w:r>
            <w:r>
              <w:rPr>
                <w:noProof/>
                <w:webHidden/>
              </w:rPr>
              <w:instrText xml:space="preserve"> PAGEREF _Toc133061089 \h </w:instrText>
            </w:r>
            <w:r>
              <w:rPr>
                <w:noProof/>
                <w:webHidden/>
              </w:rPr>
            </w:r>
            <w:r>
              <w:rPr>
                <w:noProof/>
                <w:webHidden/>
              </w:rPr>
              <w:fldChar w:fldCharType="separate"/>
            </w:r>
            <w:r>
              <w:rPr>
                <w:noProof/>
                <w:webHidden/>
              </w:rPr>
              <w:t>4</w:t>
            </w:r>
            <w:r>
              <w:rPr>
                <w:noProof/>
                <w:webHidden/>
              </w:rPr>
              <w:fldChar w:fldCharType="end"/>
            </w:r>
          </w:hyperlink>
        </w:p>
        <w:p w14:paraId="144D6E03" w14:textId="2FABD665" w:rsidR="00D06BBE" w:rsidRDefault="00D06BBE">
          <w:pPr>
            <w:pStyle w:val="TOC2"/>
            <w:tabs>
              <w:tab w:val="right" w:leader="dot" w:pos="10082"/>
            </w:tabs>
            <w:rPr>
              <w:rFonts w:eastAsiaTheme="minorEastAsia"/>
              <w:noProof/>
              <w:sz w:val="22"/>
              <w:lang w:eastAsia="en-GB"/>
            </w:rPr>
          </w:pPr>
          <w:hyperlink w:anchor="_Toc133061090" w:history="1">
            <w:r w:rsidRPr="00CB1687">
              <w:rPr>
                <w:rStyle w:val="Hyperlink"/>
                <w:noProof/>
              </w:rPr>
              <w:t>Prohibition of Charges</w:t>
            </w:r>
            <w:r>
              <w:rPr>
                <w:noProof/>
                <w:webHidden/>
              </w:rPr>
              <w:tab/>
            </w:r>
            <w:r>
              <w:rPr>
                <w:noProof/>
                <w:webHidden/>
              </w:rPr>
              <w:fldChar w:fldCharType="begin"/>
            </w:r>
            <w:r>
              <w:rPr>
                <w:noProof/>
                <w:webHidden/>
              </w:rPr>
              <w:instrText xml:space="preserve"> PAGEREF _Toc133061090 \h </w:instrText>
            </w:r>
            <w:r>
              <w:rPr>
                <w:noProof/>
                <w:webHidden/>
              </w:rPr>
            </w:r>
            <w:r>
              <w:rPr>
                <w:noProof/>
                <w:webHidden/>
              </w:rPr>
              <w:fldChar w:fldCharType="separate"/>
            </w:r>
            <w:r>
              <w:rPr>
                <w:noProof/>
                <w:webHidden/>
              </w:rPr>
              <w:t>4</w:t>
            </w:r>
            <w:r>
              <w:rPr>
                <w:noProof/>
                <w:webHidden/>
              </w:rPr>
              <w:fldChar w:fldCharType="end"/>
            </w:r>
          </w:hyperlink>
        </w:p>
        <w:p w14:paraId="79821F1C" w14:textId="20A8F503" w:rsidR="00D06BBE" w:rsidRDefault="00D06BBE">
          <w:pPr>
            <w:pStyle w:val="TOC2"/>
            <w:tabs>
              <w:tab w:val="right" w:leader="dot" w:pos="10082"/>
            </w:tabs>
            <w:rPr>
              <w:rFonts w:eastAsiaTheme="minorEastAsia"/>
              <w:noProof/>
              <w:sz w:val="22"/>
              <w:lang w:eastAsia="en-GB"/>
            </w:rPr>
          </w:pPr>
          <w:hyperlink w:anchor="_Toc133061091" w:history="1">
            <w:r w:rsidRPr="00CB1687">
              <w:rPr>
                <w:rStyle w:val="Hyperlink"/>
                <w:rFonts w:eastAsia="Calibri"/>
                <w:noProof/>
              </w:rPr>
              <w:t>Approved Charges</w:t>
            </w:r>
            <w:r>
              <w:rPr>
                <w:noProof/>
                <w:webHidden/>
              </w:rPr>
              <w:tab/>
            </w:r>
            <w:r>
              <w:rPr>
                <w:noProof/>
                <w:webHidden/>
              </w:rPr>
              <w:fldChar w:fldCharType="begin"/>
            </w:r>
            <w:r>
              <w:rPr>
                <w:noProof/>
                <w:webHidden/>
              </w:rPr>
              <w:instrText xml:space="preserve"> PAGEREF _Toc133061091 \h </w:instrText>
            </w:r>
            <w:r>
              <w:rPr>
                <w:noProof/>
                <w:webHidden/>
              </w:rPr>
            </w:r>
            <w:r>
              <w:rPr>
                <w:noProof/>
                <w:webHidden/>
              </w:rPr>
              <w:fldChar w:fldCharType="separate"/>
            </w:r>
            <w:r>
              <w:rPr>
                <w:noProof/>
                <w:webHidden/>
              </w:rPr>
              <w:t>4</w:t>
            </w:r>
            <w:r>
              <w:rPr>
                <w:noProof/>
                <w:webHidden/>
              </w:rPr>
              <w:fldChar w:fldCharType="end"/>
            </w:r>
          </w:hyperlink>
        </w:p>
        <w:p w14:paraId="0FF073F4" w14:textId="71FA3064" w:rsidR="00D06BBE" w:rsidRDefault="00D06BBE">
          <w:pPr>
            <w:pStyle w:val="TOC2"/>
            <w:tabs>
              <w:tab w:val="right" w:leader="dot" w:pos="10082"/>
            </w:tabs>
            <w:rPr>
              <w:rFonts w:eastAsiaTheme="minorEastAsia"/>
              <w:noProof/>
              <w:sz w:val="22"/>
              <w:lang w:eastAsia="en-GB"/>
            </w:rPr>
          </w:pPr>
          <w:hyperlink w:anchor="_Toc133061092" w:history="1">
            <w:r w:rsidRPr="00CB1687">
              <w:rPr>
                <w:rStyle w:val="Hyperlink"/>
                <w:rFonts w:eastAsia="Calibri"/>
                <w:noProof/>
              </w:rPr>
              <w:t>Remissions</w:t>
            </w:r>
            <w:r>
              <w:rPr>
                <w:noProof/>
                <w:webHidden/>
              </w:rPr>
              <w:tab/>
            </w:r>
            <w:r>
              <w:rPr>
                <w:noProof/>
                <w:webHidden/>
              </w:rPr>
              <w:fldChar w:fldCharType="begin"/>
            </w:r>
            <w:r>
              <w:rPr>
                <w:noProof/>
                <w:webHidden/>
              </w:rPr>
              <w:instrText xml:space="preserve"> PAGEREF _Toc133061092 \h </w:instrText>
            </w:r>
            <w:r>
              <w:rPr>
                <w:noProof/>
                <w:webHidden/>
              </w:rPr>
            </w:r>
            <w:r>
              <w:rPr>
                <w:noProof/>
                <w:webHidden/>
              </w:rPr>
              <w:fldChar w:fldCharType="separate"/>
            </w:r>
            <w:r>
              <w:rPr>
                <w:noProof/>
                <w:webHidden/>
              </w:rPr>
              <w:t>5</w:t>
            </w:r>
            <w:r>
              <w:rPr>
                <w:noProof/>
                <w:webHidden/>
              </w:rPr>
              <w:fldChar w:fldCharType="end"/>
            </w:r>
          </w:hyperlink>
        </w:p>
        <w:p w14:paraId="169D1802" w14:textId="586C56E4" w:rsidR="00D06BBE" w:rsidRDefault="00D06BBE">
          <w:pPr>
            <w:pStyle w:val="TOC2"/>
            <w:tabs>
              <w:tab w:val="right" w:leader="dot" w:pos="10082"/>
            </w:tabs>
            <w:rPr>
              <w:rFonts w:eastAsiaTheme="minorEastAsia"/>
              <w:noProof/>
              <w:sz w:val="22"/>
              <w:lang w:eastAsia="en-GB"/>
            </w:rPr>
          </w:pPr>
          <w:hyperlink w:anchor="_Toc133061093" w:history="1">
            <w:r w:rsidRPr="00CB1687">
              <w:rPr>
                <w:rStyle w:val="Hyperlink"/>
                <w:noProof/>
                <w:lang w:eastAsia="en-GB"/>
              </w:rPr>
              <w:t>Voluntary Contributions</w:t>
            </w:r>
            <w:r>
              <w:rPr>
                <w:noProof/>
                <w:webHidden/>
              </w:rPr>
              <w:tab/>
            </w:r>
            <w:r>
              <w:rPr>
                <w:noProof/>
                <w:webHidden/>
              </w:rPr>
              <w:fldChar w:fldCharType="begin"/>
            </w:r>
            <w:r>
              <w:rPr>
                <w:noProof/>
                <w:webHidden/>
              </w:rPr>
              <w:instrText xml:space="preserve"> PAGEREF _Toc133061093 \h </w:instrText>
            </w:r>
            <w:r>
              <w:rPr>
                <w:noProof/>
                <w:webHidden/>
              </w:rPr>
            </w:r>
            <w:r>
              <w:rPr>
                <w:noProof/>
                <w:webHidden/>
              </w:rPr>
              <w:fldChar w:fldCharType="separate"/>
            </w:r>
            <w:r>
              <w:rPr>
                <w:noProof/>
                <w:webHidden/>
              </w:rPr>
              <w:t>5</w:t>
            </w:r>
            <w:r>
              <w:rPr>
                <w:noProof/>
                <w:webHidden/>
              </w:rPr>
              <w:fldChar w:fldCharType="end"/>
            </w:r>
          </w:hyperlink>
        </w:p>
        <w:p w14:paraId="23AEB954" w14:textId="7ABC2CD0" w:rsidR="00D06BBE" w:rsidRDefault="00D06BBE">
          <w:pPr>
            <w:pStyle w:val="TOC2"/>
            <w:tabs>
              <w:tab w:val="right" w:leader="dot" w:pos="10082"/>
            </w:tabs>
            <w:rPr>
              <w:rFonts w:eastAsiaTheme="minorEastAsia"/>
              <w:noProof/>
              <w:sz w:val="22"/>
              <w:lang w:eastAsia="en-GB"/>
            </w:rPr>
          </w:pPr>
          <w:hyperlink w:anchor="_Toc133061094" w:history="1">
            <w:r w:rsidRPr="00CB1687">
              <w:rPr>
                <w:rStyle w:val="Hyperlink"/>
                <w:noProof/>
              </w:rPr>
              <w:t>How will this policy be communicated?</w:t>
            </w:r>
            <w:r>
              <w:rPr>
                <w:noProof/>
                <w:webHidden/>
              </w:rPr>
              <w:tab/>
            </w:r>
            <w:r>
              <w:rPr>
                <w:noProof/>
                <w:webHidden/>
              </w:rPr>
              <w:fldChar w:fldCharType="begin"/>
            </w:r>
            <w:r>
              <w:rPr>
                <w:noProof/>
                <w:webHidden/>
              </w:rPr>
              <w:instrText xml:space="preserve"> PAGEREF _Toc133061094 \h </w:instrText>
            </w:r>
            <w:r>
              <w:rPr>
                <w:noProof/>
                <w:webHidden/>
              </w:rPr>
            </w:r>
            <w:r>
              <w:rPr>
                <w:noProof/>
                <w:webHidden/>
              </w:rPr>
              <w:fldChar w:fldCharType="separate"/>
            </w:r>
            <w:r>
              <w:rPr>
                <w:noProof/>
                <w:webHidden/>
              </w:rPr>
              <w:t>5</w:t>
            </w:r>
            <w:r>
              <w:rPr>
                <w:noProof/>
                <w:webHidden/>
              </w:rPr>
              <w:fldChar w:fldCharType="end"/>
            </w:r>
          </w:hyperlink>
        </w:p>
        <w:p w14:paraId="226922F2" w14:textId="4C446534" w:rsidR="00524E06" w:rsidRDefault="005113E6" w:rsidP="00524E06">
          <w:pPr>
            <w:rPr>
              <w:b/>
              <w:bCs/>
              <w:noProof/>
            </w:rPr>
          </w:pPr>
          <w:r>
            <w:rPr>
              <w:b/>
              <w:bCs/>
              <w:noProof/>
            </w:rPr>
            <w:fldChar w:fldCharType="end"/>
          </w:r>
        </w:p>
      </w:sdtContent>
    </w:sdt>
    <w:bookmarkStart w:id="3" w:name="_Toc522713295" w:displacedByCustomXml="prev"/>
    <w:p w14:paraId="07763B41" w14:textId="4FF5CBF3" w:rsidR="00E161CC" w:rsidRPr="004B740D" w:rsidRDefault="00B7190C" w:rsidP="00C653E8">
      <w:pPr>
        <w:pStyle w:val="Heading1"/>
        <w:rPr>
          <w:rFonts w:cstheme="minorHAnsi"/>
        </w:rPr>
      </w:pPr>
      <w:bookmarkStart w:id="4" w:name="_Toc133061081"/>
      <w:bookmarkEnd w:id="3"/>
      <w:r>
        <w:rPr>
          <w:rFonts w:cstheme="minorHAnsi"/>
        </w:rPr>
        <w:t>Introduction</w:t>
      </w:r>
      <w:bookmarkEnd w:id="4"/>
    </w:p>
    <w:p w14:paraId="00888076" w14:textId="77777777" w:rsidR="00B7190C" w:rsidRPr="0031533D" w:rsidRDefault="00B7190C" w:rsidP="00B7190C">
      <w:pPr>
        <w:rPr>
          <w:lang w:eastAsia="en-GB"/>
        </w:rPr>
      </w:pPr>
      <w:r w:rsidRPr="00DA2158">
        <w:rPr>
          <w:rFonts w:cstheme="minorHAnsi"/>
        </w:rPr>
        <w:t>This policy has been formulated in accordance with</w:t>
      </w:r>
      <w:r w:rsidRPr="0031533D">
        <w:rPr>
          <w:lang w:eastAsia="en-GB"/>
        </w:rPr>
        <w:t xml:space="preserve"> </w:t>
      </w:r>
      <w:r>
        <w:rPr>
          <w:lang w:eastAsia="en-GB"/>
        </w:rPr>
        <w:t xml:space="preserve">the Local </w:t>
      </w:r>
      <w:r w:rsidRPr="0031533D">
        <w:rPr>
          <w:lang w:eastAsia="en-GB"/>
        </w:rPr>
        <w:t xml:space="preserve">Authority’s guidance on: Charging for School Activities and </w:t>
      </w:r>
      <w:r>
        <w:rPr>
          <w:lang w:eastAsia="en-GB"/>
        </w:rPr>
        <w:t>L</w:t>
      </w:r>
      <w:r w:rsidRPr="0031533D">
        <w:rPr>
          <w:lang w:eastAsia="en-GB"/>
        </w:rPr>
        <w:t xml:space="preserve">ettings </w:t>
      </w:r>
      <w:r>
        <w:rPr>
          <w:lang w:eastAsia="en-GB"/>
        </w:rPr>
        <w:t>A</w:t>
      </w:r>
      <w:r w:rsidRPr="0031533D">
        <w:rPr>
          <w:lang w:eastAsia="en-GB"/>
        </w:rPr>
        <w:t>rrangements.</w:t>
      </w:r>
    </w:p>
    <w:p w14:paraId="0914D673" w14:textId="0D01E76F" w:rsidR="00BF36C1" w:rsidRDefault="00BF36C1" w:rsidP="00BF36C1">
      <w:pPr>
        <w:pStyle w:val="Heading2"/>
      </w:pPr>
      <w:bookmarkStart w:id="5" w:name="_Toc522713296"/>
      <w:bookmarkStart w:id="6" w:name="_Toc133061082"/>
      <w:r w:rsidRPr="004B740D">
        <w:t>Ai</w:t>
      </w:r>
      <w:bookmarkEnd w:id="5"/>
      <w:r w:rsidR="00D755C5">
        <w:t>ms</w:t>
      </w:r>
      <w:bookmarkEnd w:id="6"/>
    </w:p>
    <w:p w14:paraId="15F26868" w14:textId="77777777" w:rsidR="00D755C5" w:rsidRPr="009A31B1" w:rsidRDefault="00D755C5" w:rsidP="00D755C5">
      <w:pPr>
        <w:rPr>
          <w:lang w:eastAsia="en-GB"/>
        </w:rPr>
      </w:pPr>
      <w:r w:rsidRPr="009A31B1">
        <w:rPr>
          <w:lang w:eastAsia="en-GB"/>
        </w:rPr>
        <w:t xml:space="preserve">Our school aims to: </w:t>
      </w:r>
    </w:p>
    <w:p w14:paraId="0F9C0EB6" w14:textId="77777777" w:rsidR="00D755C5" w:rsidRPr="009A31B1" w:rsidRDefault="00D755C5" w:rsidP="00D755C5">
      <w:pPr>
        <w:numPr>
          <w:ilvl w:val="0"/>
          <w:numId w:val="20"/>
        </w:numPr>
        <w:spacing w:after="120" w:line="240" w:lineRule="auto"/>
        <w:jc w:val="left"/>
        <w:rPr>
          <w:rFonts w:cs="Arial"/>
          <w:szCs w:val="20"/>
          <w:lang w:eastAsia="en-GB"/>
        </w:rPr>
      </w:pPr>
      <w:r w:rsidRPr="009A31B1">
        <w:rPr>
          <w:rFonts w:cs="Arial"/>
          <w:szCs w:val="20"/>
          <w:lang w:eastAsia="en-GB"/>
        </w:rPr>
        <w:t xml:space="preserve">Have robust, clear processes in place for charging and remissions </w:t>
      </w:r>
    </w:p>
    <w:p w14:paraId="70ED270B" w14:textId="77777777" w:rsidR="00D755C5" w:rsidRPr="009A31B1" w:rsidRDefault="00D755C5" w:rsidP="00D755C5">
      <w:pPr>
        <w:numPr>
          <w:ilvl w:val="0"/>
          <w:numId w:val="20"/>
        </w:numPr>
        <w:spacing w:after="120" w:line="240" w:lineRule="auto"/>
        <w:jc w:val="left"/>
        <w:rPr>
          <w:rFonts w:cs="Arial"/>
          <w:szCs w:val="20"/>
          <w:lang w:eastAsia="en-GB"/>
        </w:rPr>
      </w:pPr>
      <w:r w:rsidRPr="009A31B1">
        <w:rPr>
          <w:rFonts w:cs="Arial"/>
          <w:szCs w:val="20"/>
          <w:lang w:eastAsia="en-GB"/>
        </w:rPr>
        <w:t>Clearly set out the types of activity that can be charged for and when charges will and will not be made</w:t>
      </w:r>
    </w:p>
    <w:p w14:paraId="54FFC369" w14:textId="39F0E262" w:rsidR="00D755C5" w:rsidRDefault="00D755C5" w:rsidP="00D755C5">
      <w:pPr>
        <w:numPr>
          <w:ilvl w:val="0"/>
          <w:numId w:val="20"/>
        </w:numPr>
        <w:spacing w:after="120" w:line="240" w:lineRule="auto"/>
        <w:jc w:val="left"/>
        <w:rPr>
          <w:rFonts w:cs="Arial"/>
          <w:szCs w:val="20"/>
          <w:lang w:eastAsia="en-GB"/>
        </w:rPr>
      </w:pPr>
      <w:r w:rsidRPr="009A31B1">
        <w:rPr>
          <w:rFonts w:cs="Arial"/>
          <w:szCs w:val="20"/>
          <w:lang w:eastAsia="en-GB"/>
        </w:rPr>
        <w:t>Offer a range of activities and visits whilst minimising the financial barriers that may prevent some pupils from taking full advantage of these opportunities</w:t>
      </w:r>
    </w:p>
    <w:p w14:paraId="6929A995" w14:textId="77777777" w:rsidR="00D755C5" w:rsidRPr="009A31B1" w:rsidRDefault="00D755C5" w:rsidP="00D755C5">
      <w:pPr>
        <w:spacing w:after="120" w:line="240" w:lineRule="auto"/>
        <w:jc w:val="left"/>
        <w:rPr>
          <w:rFonts w:cs="Arial"/>
          <w:szCs w:val="20"/>
          <w:lang w:eastAsia="en-GB"/>
        </w:rPr>
      </w:pPr>
    </w:p>
    <w:p w14:paraId="2F503346" w14:textId="241C9098" w:rsidR="00D755C5" w:rsidRDefault="00D755C5" w:rsidP="00D755C5">
      <w:pPr>
        <w:pStyle w:val="Heading2"/>
      </w:pPr>
      <w:bookmarkStart w:id="7" w:name="_Toc133061083"/>
      <w:r>
        <w:lastRenderedPageBreak/>
        <w:t>Legislation &amp; Guidance</w:t>
      </w:r>
      <w:bookmarkEnd w:id="7"/>
    </w:p>
    <w:p w14:paraId="1A3D1115" w14:textId="77777777" w:rsidR="00D755C5" w:rsidRPr="009A31B1" w:rsidRDefault="00D755C5" w:rsidP="00D755C5">
      <w:pPr>
        <w:rPr>
          <w:lang w:eastAsia="en-GB"/>
        </w:rPr>
      </w:pPr>
      <w:r w:rsidRPr="009A31B1">
        <w:rPr>
          <w:lang w:eastAsia="en-GB"/>
        </w:rPr>
        <w:t xml:space="preserve">This policy is based on advice from the Department for Education (DfE) on </w:t>
      </w:r>
      <w:hyperlink r:id="rId9" w:history="1">
        <w:r w:rsidRPr="009A31B1">
          <w:rPr>
            <w:color w:val="0072CC"/>
            <w:u w:val="single" w:color="0072CC"/>
            <w:lang w:eastAsia="en-GB"/>
          </w:rPr>
          <w:t>charging for school activities</w:t>
        </w:r>
      </w:hyperlink>
      <w:r w:rsidRPr="009A31B1">
        <w:rPr>
          <w:lang w:eastAsia="en-GB"/>
        </w:rPr>
        <w:t xml:space="preserve"> and </w:t>
      </w:r>
      <w:hyperlink r:id="rId10" w:history="1">
        <w:r w:rsidRPr="009A31B1">
          <w:rPr>
            <w:color w:val="0072CC"/>
            <w:u w:val="single" w:color="0072CC"/>
            <w:lang w:eastAsia="en-GB"/>
          </w:rPr>
          <w:t>the Education Act 1996</w:t>
        </w:r>
      </w:hyperlink>
      <w:r w:rsidRPr="009A31B1">
        <w:rPr>
          <w:lang w:eastAsia="en-GB"/>
        </w:rPr>
        <w:t xml:space="preserve">, sections 449 to 462 of which set out the law on charging for school activities in England. </w:t>
      </w:r>
    </w:p>
    <w:p w14:paraId="33C518FD" w14:textId="77777777" w:rsidR="00D755C5" w:rsidRPr="009A31B1" w:rsidRDefault="00D755C5" w:rsidP="00D755C5">
      <w:pPr>
        <w:rPr>
          <w:lang w:eastAsia="en-GB"/>
        </w:rPr>
      </w:pPr>
      <w:r w:rsidRPr="009A31B1">
        <w:rPr>
          <w:lang w:eastAsia="en-GB"/>
        </w:rPr>
        <w:t xml:space="preserve">It’s also based on guidance from the DfE on </w:t>
      </w:r>
      <w:hyperlink r:id="rId11" w:history="1">
        <w:r w:rsidRPr="009A31B1">
          <w:rPr>
            <w:color w:val="0072CC"/>
            <w:u w:val="single"/>
            <w:lang w:eastAsia="en-GB"/>
          </w:rPr>
          <w:t>statutory policies for schools and academy trusts</w:t>
        </w:r>
      </w:hyperlink>
      <w:r w:rsidRPr="009A31B1">
        <w:rPr>
          <w:lang w:eastAsia="en-GB"/>
        </w:rPr>
        <w:t>.</w:t>
      </w:r>
    </w:p>
    <w:p w14:paraId="3FB595CF" w14:textId="2F739F6E" w:rsidR="00D755C5" w:rsidRDefault="00D755C5" w:rsidP="00D755C5">
      <w:pPr>
        <w:pStyle w:val="Heading2"/>
      </w:pPr>
      <w:bookmarkStart w:id="8" w:name="_Toc133061084"/>
      <w:r>
        <w:t>Definitions</w:t>
      </w:r>
      <w:bookmarkEnd w:id="8"/>
    </w:p>
    <w:p w14:paraId="493390E8" w14:textId="77777777" w:rsidR="00D755C5" w:rsidRPr="009A31B1" w:rsidRDefault="00D755C5" w:rsidP="00D755C5">
      <w:pPr>
        <w:numPr>
          <w:ilvl w:val="0"/>
          <w:numId w:val="20"/>
        </w:numPr>
        <w:spacing w:after="120" w:line="240" w:lineRule="auto"/>
        <w:jc w:val="left"/>
        <w:rPr>
          <w:rFonts w:cs="Arial"/>
          <w:szCs w:val="20"/>
          <w:lang w:eastAsia="en-GB"/>
        </w:rPr>
      </w:pPr>
      <w:r w:rsidRPr="009A31B1">
        <w:rPr>
          <w:rFonts w:cs="Arial"/>
          <w:b/>
          <w:bCs/>
          <w:szCs w:val="20"/>
          <w:lang w:eastAsia="en-GB"/>
        </w:rPr>
        <w:t>Charge</w:t>
      </w:r>
      <w:r w:rsidRPr="009A31B1">
        <w:rPr>
          <w:rFonts w:cs="Arial"/>
          <w:szCs w:val="20"/>
          <w:lang w:eastAsia="en-GB"/>
        </w:rPr>
        <w:t>: a fee payable for specifically defined activities</w:t>
      </w:r>
    </w:p>
    <w:p w14:paraId="5A4AE8CA" w14:textId="2010121D" w:rsidR="00D755C5" w:rsidRDefault="00D755C5" w:rsidP="00D755C5">
      <w:pPr>
        <w:numPr>
          <w:ilvl w:val="0"/>
          <w:numId w:val="20"/>
        </w:numPr>
        <w:spacing w:after="120" w:line="240" w:lineRule="auto"/>
        <w:jc w:val="left"/>
        <w:rPr>
          <w:rFonts w:cs="Arial"/>
          <w:szCs w:val="20"/>
          <w:lang w:eastAsia="en-GB"/>
        </w:rPr>
      </w:pPr>
      <w:r w:rsidRPr="009A31B1">
        <w:rPr>
          <w:rFonts w:cs="Arial"/>
          <w:b/>
          <w:bCs/>
          <w:szCs w:val="20"/>
          <w:lang w:eastAsia="en-GB"/>
        </w:rPr>
        <w:t>Remission</w:t>
      </w:r>
      <w:r w:rsidRPr="009A31B1">
        <w:rPr>
          <w:rFonts w:cs="Arial"/>
          <w:szCs w:val="20"/>
          <w:lang w:eastAsia="en-GB"/>
        </w:rPr>
        <w:t>: the cancellation of a charge which would normally be payable</w:t>
      </w:r>
    </w:p>
    <w:p w14:paraId="2393A167" w14:textId="77777777" w:rsidR="00D06BBE" w:rsidRPr="009A31B1" w:rsidRDefault="00D06BBE" w:rsidP="00D06BBE">
      <w:pPr>
        <w:spacing w:after="120" w:line="240" w:lineRule="auto"/>
        <w:ind w:left="340"/>
        <w:jc w:val="left"/>
        <w:rPr>
          <w:rFonts w:cs="Arial"/>
          <w:szCs w:val="20"/>
          <w:lang w:eastAsia="en-GB"/>
        </w:rPr>
      </w:pPr>
    </w:p>
    <w:p w14:paraId="02F27833" w14:textId="2F79D1A1" w:rsidR="00E161CC" w:rsidRPr="004B740D" w:rsidRDefault="00B7190C" w:rsidP="00C653E8">
      <w:pPr>
        <w:pStyle w:val="Heading1"/>
        <w:rPr>
          <w:rFonts w:cstheme="minorHAnsi"/>
        </w:rPr>
      </w:pPr>
      <w:bookmarkStart w:id="9" w:name="_Toc522713299"/>
      <w:bookmarkStart w:id="10" w:name="_Toc133061085"/>
      <w:r>
        <w:rPr>
          <w:rFonts w:cstheme="minorHAnsi"/>
        </w:rPr>
        <w:t>Review</w:t>
      </w:r>
      <w:r w:rsidR="00E161CC" w:rsidRPr="004B740D">
        <w:rPr>
          <w:rFonts w:cstheme="minorHAnsi"/>
        </w:rPr>
        <w:t xml:space="preserve"> and responsibilities</w:t>
      </w:r>
      <w:bookmarkEnd w:id="9"/>
      <w:bookmarkEnd w:id="10"/>
    </w:p>
    <w:p w14:paraId="0B461EBF" w14:textId="31450C89" w:rsidR="00D755C5" w:rsidRDefault="00B7190C" w:rsidP="00B7190C">
      <w:pPr>
        <w:rPr>
          <w:rFonts w:cstheme="minorHAnsi"/>
        </w:rPr>
      </w:pPr>
      <w:r w:rsidRPr="004B740D">
        <w:rPr>
          <w:rFonts w:cstheme="minorHAnsi"/>
        </w:rPr>
        <w:t xml:space="preserve">This policy </w:t>
      </w:r>
      <w:r>
        <w:rPr>
          <w:rFonts w:cstheme="minorHAnsi"/>
        </w:rPr>
        <w:t>is</w:t>
      </w:r>
      <w:r w:rsidRPr="004B740D">
        <w:rPr>
          <w:rFonts w:cstheme="minorHAnsi"/>
        </w:rPr>
        <w:t xml:space="preserve"> subject to annual review </w:t>
      </w:r>
      <w:r w:rsidR="00D755C5">
        <w:rPr>
          <w:rFonts w:cstheme="minorHAnsi"/>
        </w:rPr>
        <w:t xml:space="preserve">by the Headteacher </w:t>
      </w:r>
      <w:r>
        <w:rPr>
          <w:rFonts w:cstheme="minorHAnsi"/>
        </w:rPr>
        <w:t xml:space="preserve">in April </w:t>
      </w:r>
      <w:r w:rsidRPr="004B740D">
        <w:rPr>
          <w:rFonts w:cstheme="minorHAnsi"/>
        </w:rPr>
        <w:t xml:space="preserve">but also amended where necessary during the year in response to developments in </w:t>
      </w:r>
      <w:r>
        <w:rPr>
          <w:rFonts w:cstheme="minorHAnsi"/>
        </w:rPr>
        <w:t xml:space="preserve">the </w:t>
      </w:r>
      <w:r w:rsidRPr="004B740D">
        <w:rPr>
          <w:rFonts w:cstheme="minorHAnsi"/>
        </w:rPr>
        <w:t>school</w:t>
      </w:r>
      <w:r>
        <w:rPr>
          <w:rFonts w:cstheme="minorHAnsi"/>
        </w:rPr>
        <w:t xml:space="preserve"> and local area</w:t>
      </w:r>
      <w:r w:rsidRPr="004B740D">
        <w:rPr>
          <w:rFonts w:cstheme="minorHAnsi"/>
        </w:rPr>
        <w:t xml:space="preserve">. Although many aspects will be informed by legislation and regulations, </w:t>
      </w:r>
      <w:r>
        <w:rPr>
          <w:rFonts w:cstheme="minorHAnsi"/>
        </w:rPr>
        <w:t xml:space="preserve">the Governing Body of the School is responsible for </w:t>
      </w:r>
      <w:r w:rsidR="00D755C5">
        <w:rPr>
          <w:rFonts w:cstheme="minorHAnsi"/>
        </w:rPr>
        <w:t>approving</w:t>
      </w:r>
      <w:r>
        <w:rPr>
          <w:rFonts w:cstheme="minorHAnsi"/>
        </w:rPr>
        <w:t xml:space="preserve"> the content of the policy and the Headteacher for its implementation.  </w:t>
      </w:r>
    </w:p>
    <w:p w14:paraId="0D715DA3" w14:textId="57179801" w:rsidR="00D755C5" w:rsidRDefault="00D06BBE" w:rsidP="00D755C5">
      <w:pPr>
        <w:pStyle w:val="Heading2"/>
      </w:pPr>
      <w:bookmarkStart w:id="11" w:name="_Toc133061086"/>
      <w:r>
        <w:t>The Governing Board</w:t>
      </w:r>
      <w:bookmarkEnd w:id="11"/>
    </w:p>
    <w:p w14:paraId="1D07B532" w14:textId="77777777" w:rsidR="00D06BBE" w:rsidRDefault="00D06BBE" w:rsidP="00D755C5">
      <w:pPr>
        <w:rPr>
          <w:lang w:eastAsia="en-GB"/>
        </w:rPr>
      </w:pPr>
      <w:r>
        <w:rPr>
          <w:lang w:eastAsia="en-GB"/>
        </w:rPr>
        <w:t>The governing board has overall responsibility for approving the charging and remissions policy.</w:t>
      </w:r>
    </w:p>
    <w:p w14:paraId="40FEA45C" w14:textId="4E0F07FE" w:rsidR="00D755C5" w:rsidRDefault="00D06BBE" w:rsidP="00D755C5">
      <w:pPr>
        <w:rPr>
          <w:lang w:eastAsia="en-GB"/>
        </w:rPr>
      </w:pPr>
      <w:r>
        <w:rPr>
          <w:lang w:eastAsia="en-GB"/>
        </w:rPr>
        <w:t xml:space="preserve">The governing board also has overall responsibility for monitoring the implementation of this policy, but has delegated this to the headteacher.  </w:t>
      </w:r>
    </w:p>
    <w:p w14:paraId="168E7717" w14:textId="5C55AF65" w:rsidR="00D06BBE" w:rsidRDefault="00D06BBE" w:rsidP="00D06BBE">
      <w:pPr>
        <w:pStyle w:val="Heading2"/>
      </w:pPr>
      <w:bookmarkStart w:id="12" w:name="_Toc133061087"/>
      <w:r>
        <w:t>The Headteacher</w:t>
      </w:r>
      <w:bookmarkEnd w:id="12"/>
    </w:p>
    <w:p w14:paraId="102A7BEE" w14:textId="77777777" w:rsidR="00D06BBE" w:rsidRPr="009A31B1" w:rsidRDefault="00D06BBE" w:rsidP="00D06BBE">
      <w:pPr>
        <w:rPr>
          <w:lang w:eastAsia="en-GB"/>
        </w:rPr>
      </w:pPr>
      <w:r w:rsidRPr="009A31B1">
        <w:rPr>
          <w:lang w:eastAsia="en-GB"/>
        </w:rPr>
        <w:t>The headteacher is responsible for ensuring staff are familiar with the charging and remissions policy, and that it is being applied consistently.</w:t>
      </w:r>
    </w:p>
    <w:p w14:paraId="588A8E8F" w14:textId="24B698FC" w:rsidR="00D06BBE" w:rsidRDefault="00D06BBE" w:rsidP="00D06BBE">
      <w:pPr>
        <w:pStyle w:val="Heading2"/>
      </w:pPr>
      <w:bookmarkStart w:id="13" w:name="_Toc133061088"/>
      <w:r>
        <w:t>Staff</w:t>
      </w:r>
      <w:bookmarkEnd w:id="13"/>
    </w:p>
    <w:p w14:paraId="63D58C53" w14:textId="77777777" w:rsidR="00D06BBE" w:rsidRPr="009A31B1" w:rsidRDefault="00D06BBE" w:rsidP="00D06BBE">
      <w:pPr>
        <w:rPr>
          <w:szCs w:val="20"/>
          <w:lang w:eastAsia="en-GB"/>
        </w:rPr>
      </w:pPr>
      <w:r w:rsidRPr="009A31B1">
        <w:rPr>
          <w:rFonts w:eastAsia="Arial" w:cs="Arial"/>
          <w:szCs w:val="20"/>
          <w:lang w:eastAsia="en-GB"/>
        </w:rPr>
        <w:t xml:space="preserve">Staff are responsible for: </w:t>
      </w:r>
    </w:p>
    <w:p w14:paraId="127549CF" w14:textId="77777777" w:rsidR="00D06BBE" w:rsidRPr="009A31B1" w:rsidRDefault="00D06BBE" w:rsidP="00D06BBE">
      <w:pPr>
        <w:numPr>
          <w:ilvl w:val="0"/>
          <w:numId w:val="20"/>
        </w:numPr>
        <w:spacing w:after="120" w:line="240" w:lineRule="auto"/>
        <w:jc w:val="left"/>
        <w:rPr>
          <w:rFonts w:cs="Arial"/>
          <w:szCs w:val="20"/>
          <w:lang w:eastAsia="en-GB"/>
        </w:rPr>
      </w:pPr>
      <w:r w:rsidRPr="009A31B1">
        <w:rPr>
          <w:rFonts w:cs="Arial"/>
          <w:szCs w:val="20"/>
          <w:lang w:eastAsia="en-GB"/>
        </w:rPr>
        <w:t xml:space="preserve">Implementing the charging and remissions policy consistently </w:t>
      </w:r>
    </w:p>
    <w:p w14:paraId="389D5521" w14:textId="77777777" w:rsidR="00D06BBE" w:rsidRPr="009A31B1" w:rsidRDefault="00D06BBE" w:rsidP="00D06BBE">
      <w:pPr>
        <w:numPr>
          <w:ilvl w:val="0"/>
          <w:numId w:val="20"/>
        </w:numPr>
        <w:spacing w:after="120" w:line="240" w:lineRule="auto"/>
        <w:jc w:val="left"/>
        <w:rPr>
          <w:rFonts w:cs="Arial"/>
          <w:szCs w:val="20"/>
          <w:lang w:eastAsia="en-GB"/>
        </w:rPr>
      </w:pPr>
      <w:r w:rsidRPr="009A31B1">
        <w:rPr>
          <w:rFonts w:cs="Arial"/>
          <w:szCs w:val="20"/>
          <w:lang w:eastAsia="en-GB"/>
        </w:rPr>
        <w:t>Notifying the headteacher of any specific circumstances which they are unsure about or where they are not certain if the policy applies</w:t>
      </w:r>
    </w:p>
    <w:p w14:paraId="06D79F0B" w14:textId="77777777" w:rsidR="00D06BBE" w:rsidRPr="009A31B1" w:rsidRDefault="00D06BBE" w:rsidP="00D06BBE">
      <w:pPr>
        <w:rPr>
          <w:szCs w:val="20"/>
          <w:lang w:eastAsia="en-GB"/>
        </w:rPr>
      </w:pPr>
      <w:r w:rsidRPr="009A31B1">
        <w:rPr>
          <w:rFonts w:eastAsia="Arial" w:cs="Arial"/>
          <w:szCs w:val="20"/>
          <w:lang w:eastAsia="en-GB"/>
        </w:rPr>
        <w:t>The school will provide staff with appropriate training in relation to this policy and its implementation.</w:t>
      </w:r>
    </w:p>
    <w:p w14:paraId="1AE9665C" w14:textId="24550BFD" w:rsidR="00D06BBE" w:rsidRDefault="00D06BBE" w:rsidP="00D06BBE">
      <w:pPr>
        <w:pStyle w:val="Heading2"/>
      </w:pPr>
      <w:bookmarkStart w:id="14" w:name="_Toc133061089"/>
      <w:r>
        <w:t>Parents</w:t>
      </w:r>
      <w:bookmarkEnd w:id="14"/>
    </w:p>
    <w:p w14:paraId="028E2C28" w14:textId="68913E40" w:rsidR="00D755C5" w:rsidRPr="00D06BBE" w:rsidRDefault="00D06BBE" w:rsidP="00B7190C">
      <w:pPr>
        <w:rPr>
          <w:lang w:eastAsia="en-GB"/>
        </w:rPr>
      </w:pPr>
      <w:r w:rsidRPr="009A31B1">
        <w:rPr>
          <w:lang w:eastAsia="en-GB"/>
        </w:rPr>
        <w:t>Parents are expected to notify staff or the headteacher of any concerns or queries regarding the charging and remissions policy.</w:t>
      </w:r>
    </w:p>
    <w:p w14:paraId="18DE5B78" w14:textId="77777777" w:rsidR="00B7190C" w:rsidRPr="004B740D" w:rsidRDefault="00B7190C" w:rsidP="00B7190C">
      <w:pPr>
        <w:pStyle w:val="Heading2"/>
      </w:pPr>
      <w:bookmarkStart w:id="15" w:name="_Toc133061090"/>
      <w:r>
        <w:lastRenderedPageBreak/>
        <w:t>Prohibition of Charges</w:t>
      </w:r>
      <w:bookmarkEnd w:id="15"/>
    </w:p>
    <w:p w14:paraId="06EF03F3" w14:textId="77777777" w:rsidR="00B7190C" w:rsidRDefault="00B7190C" w:rsidP="00B7190C">
      <w:pPr>
        <w:rPr>
          <w:lang w:eastAsia="en-GB"/>
        </w:rPr>
      </w:pPr>
      <w:r w:rsidRPr="0031533D">
        <w:rPr>
          <w:lang w:eastAsia="en-GB"/>
        </w:rPr>
        <w:t xml:space="preserve">The Governing Body of the School recognise that the legislation prohibits charges for </w:t>
      </w:r>
      <w:r>
        <w:rPr>
          <w:lang w:eastAsia="en-GB"/>
        </w:rPr>
        <w:t>the following:</w:t>
      </w:r>
    </w:p>
    <w:p w14:paraId="3BBA2156" w14:textId="4377FF11" w:rsidR="00D06BBE" w:rsidRDefault="00D06BBE" w:rsidP="00B7190C">
      <w:pPr>
        <w:pStyle w:val="ListParagraph"/>
        <w:numPr>
          <w:ilvl w:val="3"/>
          <w:numId w:val="13"/>
        </w:numPr>
        <w:tabs>
          <w:tab w:val="clear" w:pos="2520"/>
        </w:tabs>
        <w:ind w:left="567" w:hanging="535"/>
        <w:rPr>
          <w:lang w:eastAsia="en-GB"/>
        </w:rPr>
      </w:pPr>
      <w:r>
        <w:rPr>
          <w:lang w:eastAsia="en-GB"/>
        </w:rPr>
        <w:t>Admission applications</w:t>
      </w:r>
    </w:p>
    <w:p w14:paraId="1A772B17" w14:textId="0B90592F" w:rsidR="00B7190C" w:rsidRDefault="00B7190C" w:rsidP="00B7190C">
      <w:pPr>
        <w:pStyle w:val="ListParagraph"/>
        <w:numPr>
          <w:ilvl w:val="3"/>
          <w:numId w:val="13"/>
        </w:numPr>
        <w:tabs>
          <w:tab w:val="clear" w:pos="2520"/>
        </w:tabs>
        <w:ind w:left="567" w:hanging="535"/>
        <w:rPr>
          <w:lang w:eastAsia="en-GB"/>
        </w:rPr>
      </w:pPr>
      <w:r>
        <w:rPr>
          <w:lang w:eastAsia="en-GB"/>
        </w:rPr>
        <w:t>Education provided during school hours, including the supply of any materials, books or other equipment.</w:t>
      </w:r>
    </w:p>
    <w:p w14:paraId="68BCDDF8" w14:textId="77777777" w:rsidR="00B7190C" w:rsidRDefault="00B7190C" w:rsidP="00B7190C">
      <w:pPr>
        <w:pStyle w:val="ListParagraph"/>
        <w:numPr>
          <w:ilvl w:val="3"/>
          <w:numId w:val="13"/>
        </w:numPr>
        <w:tabs>
          <w:tab w:val="clear" w:pos="2520"/>
        </w:tabs>
        <w:ind w:left="567" w:hanging="535"/>
        <w:rPr>
          <w:lang w:eastAsia="en-GB"/>
        </w:rPr>
      </w:pPr>
      <w:r>
        <w:rPr>
          <w:lang w:eastAsia="en-GB"/>
        </w:rPr>
        <w:t>Education provided outside school hours if it is part of the National Curriculum or part of a syllabus for a prescribed public examination that the pupil is being prepared for at the school, or part of religious education.</w:t>
      </w:r>
    </w:p>
    <w:p w14:paraId="309C55AA" w14:textId="6F14C9D8" w:rsidR="00B7190C" w:rsidRDefault="00D06BBE" w:rsidP="00B7190C">
      <w:pPr>
        <w:pStyle w:val="ListParagraph"/>
        <w:numPr>
          <w:ilvl w:val="3"/>
          <w:numId w:val="13"/>
        </w:numPr>
        <w:tabs>
          <w:tab w:val="clear" w:pos="2520"/>
        </w:tabs>
        <w:ind w:left="567" w:hanging="535"/>
        <w:rPr>
          <w:lang w:eastAsia="en-GB"/>
        </w:rPr>
      </w:pPr>
      <w:r>
        <w:rPr>
          <w:lang w:eastAsia="en-GB"/>
        </w:rPr>
        <w:t>Instrumental or vocal t</w:t>
      </w:r>
      <w:r w:rsidR="00B7190C">
        <w:rPr>
          <w:lang w:eastAsia="en-GB"/>
        </w:rPr>
        <w:t xml:space="preserve">uition for pupils learning </w:t>
      </w:r>
      <w:r>
        <w:rPr>
          <w:lang w:eastAsia="en-GB"/>
        </w:rPr>
        <w:t>individually or in groups</w:t>
      </w:r>
      <w:r w:rsidR="00B7190C">
        <w:rPr>
          <w:lang w:eastAsia="en-GB"/>
        </w:rPr>
        <w:t xml:space="preserve"> if the tuition is required as part of the National Curriculum, or part of a syllabus for a prescribed public examination that the pupil is being prepared for at the school or part of religious education.</w:t>
      </w:r>
    </w:p>
    <w:p w14:paraId="788F1F64" w14:textId="77777777" w:rsidR="00B7190C" w:rsidRDefault="00B7190C" w:rsidP="00B7190C">
      <w:pPr>
        <w:pStyle w:val="ListParagraph"/>
        <w:numPr>
          <w:ilvl w:val="3"/>
          <w:numId w:val="13"/>
        </w:numPr>
        <w:tabs>
          <w:tab w:val="clear" w:pos="2520"/>
        </w:tabs>
        <w:ind w:left="567" w:hanging="535"/>
        <w:rPr>
          <w:lang w:eastAsia="en-GB"/>
        </w:rPr>
      </w:pPr>
      <w:r>
        <w:rPr>
          <w:lang w:eastAsia="en-GB"/>
        </w:rPr>
        <w:t>Entry for a prescribed public examination, if the pupil has been prepared for it at the school.</w:t>
      </w:r>
    </w:p>
    <w:p w14:paraId="25B427DB" w14:textId="77777777" w:rsidR="00B7190C" w:rsidRDefault="00B7190C" w:rsidP="00B7190C">
      <w:pPr>
        <w:pStyle w:val="ListParagraph"/>
        <w:numPr>
          <w:ilvl w:val="3"/>
          <w:numId w:val="13"/>
        </w:numPr>
        <w:tabs>
          <w:tab w:val="clear" w:pos="2520"/>
        </w:tabs>
        <w:ind w:left="567" w:hanging="535"/>
        <w:rPr>
          <w:lang w:eastAsia="en-GB"/>
        </w:rPr>
      </w:pPr>
      <w:r>
        <w:rPr>
          <w:lang w:eastAsia="en-GB"/>
        </w:rPr>
        <w:t>Examination resit(s) if the pupil is being prepared for the resit(s) at the school.</w:t>
      </w:r>
    </w:p>
    <w:p w14:paraId="0B69BF06" w14:textId="77777777" w:rsidR="00B7190C" w:rsidRDefault="00B7190C" w:rsidP="00B7190C">
      <w:pPr>
        <w:pStyle w:val="ListParagraph"/>
        <w:numPr>
          <w:ilvl w:val="3"/>
          <w:numId w:val="13"/>
        </w:numPr>
        <w:tabs>
          <w:tab w:val="clear" w:pos="2520"/>
        </w:tabs>
        <w:ind w:left="567" w:hanging="535"/>
        <w:rPr>
          <w:lang w:eastAsia="en-GB"/>
        </w:rPr>
      </w:pPr>
      <w:r>
        <w:rPr>
          <w:lang w:eastAsia="en-GB"/>
        </w:rPr>
        <w:t>Education provided on any trip that takes place during school hours.</w:t>
      </w:r>
    </w:p>
    <w:p w14:paraId="72D20113" w14:textId="77777777" w:rsidR="00B7190C" w:rsidRDefault="00B7190C" w:rsidP="00B7190C">
      <w:pPr>
        <w:pStyle w:val="ListParagraph"/>
        <w:numPr>
          <w:ilvl w:val="3"/>
          <w:numId w:val="13"/>
        </w:numPr>
        <w:tabs>
          <w:tab w:val="clear" w:pos="2520"/>
        </w:tabs>
        <w:ind w:left="567" w:hanging="535"/>
        <w:rPr>
          <w:lang w:eastAsia="en-GB"/>
        </w:rPr>
      </w:pPr>
      <w:r>
        <w:rPr>
          <w:lang w:eastAsia="en-GB"/>
        </w:rPr>
        <w:t>Education provided on any trip that takes place outside school hours if it is part of the National Curriculum, or part of a syllabus for a prescribed public examination that the pupil is being prepared for at the school, or part of religious education.</w:t>
      </w:r>
    </w:p>
    <w:p w14:paraId="7D802312" w14:textId="77777777" w:rsidR="00B7190C" w:rsidRDefault="00B7190C" w:rsidP="00B7190C">
      <w:pPr>
        <w:pStyle w:val="ListParagraph"/>
        <w:numPr>
          <w:ilvl w:val="3"/>
          <w:numId w:val="13"/>
        </w:numPr>
        <w:tabs>
          <w:tab w:val="clear" w:pos="2520"/>
        </w:tabs>
        <w:ind w:left="567" w:hanging="535"/>
        <w:rPr>
          <w:lang w:eastAsia="en-GB"/>
        </w:rPr>
      </w:pPr>
      <w:r>
        <w:rPr>
          <w:lang w:eastAsia="en-GB"/>
        </w:rPr>
        <w:t>Supply teachers to cover for those teachers who are absent from school accompanying pupils on a residential trip.</w:t>
      </w:r>
    </w:p>
    <w:p w14:paraId="37CE5C68" w14:textId="77777777" w:rsidR="00B7190C" w:rsidRDefault="00B7190C" w:rsidP="00B7190C">
      <w:pPr>
        <w:pStyle w:val="ListParagraph"/>
        <w:numPr>
          <w:ilvl w:val="3"/>
          <w:numId w:val="13"/>
        </w:numPr>
        <w:tabs>
          <w:tab w:val="clear" w:pos="2520"/>
        </w:tabs>
        <w:ind w:left="567" w:hanging="535"/>
        <w:rPr>
          <w:lang w:eastAsia="en-GB"/>
        </w:rPr>
      </w:pPr>
      <w:r>
        <w:rPr>
          <w:lang w:eastAsia="en-GB"/>
        </w:rPr>
        <w:t>Transporting registered pupils to or from the school premises, where the local education authority has a statutory obligation to provide transport.</w:t>
      </w:r>
    </w:p>
    <w:p w14:paraId="02BBC6CB" w14:textId="77777777" w:rsidR="00B7190C" w:rsidRDefault="00B7190C" w:rsidP="00B7190C">
      <w:pPr>
        <w:pStyle w:val="ListParagraph"/>
        <w:numPr>
          <w:ilvl w:val="3"/>
          <w:numId w:val="13"/>
        </w:numPr>
        <w:tabs>
          <w:tab w:val="clear" w:pos="2520"/>
        </w:tabs>
        <w:ind w:left="567" w:hanging="535"/>
        <w:rPr>
          <w:lang w:eastAsia="en-GB"/>
        </w:rPr>
      </w:pPr>
      <w:r>
        <w:rPr>
          <w:lang w:eastAsia="en-GB"/>
        </w:rPr>
        <w:t>Transporting registered pupils to other premises where the governing body or local education authority has arranged for pupils to be educated.</w:t>
      </w:r>
    </w:p>
    <w:p w14:paraId="78C61862" w14:textId="77777777" w:rsidR="00B7190C" w:rsidRDefault="00B7190C" w:rsidP="00B7190C">
      <w:pPr>
        <w:pStyle w:val="ListParagraph"/>
        <w:numPr>
          <w:ilvl w:val="3"/>
          <w:numId w:val="13"/>
        </w:numPr>
        <w:tabs>
          <w:tab w:val="clear" w:pos="2520"/>
        </w:tabs>
        <w:ind w:left="567" w:hanging="535"/>
        <w:rPr>
          <w:lang w:eastAsia="en-GB"/>
        </w:rPr>
      </w:pPr>
      <w:r>
        <w:rPr>
          <w:lang w:eastAsia="en-GB"/>
        </w:rPr>
        <w:t>Transport that enables a pupil to meet an examination requirement when s/he has been prepared for that examination at the school</w:t>
      </w:r>
    </w:p>
    <w:p w14:paraId="62A2621C" w14:textId="29297EB6" w:rsidR="00B7190C" w:rsidRDefault="00B7190C" w:rsidP="00B7190C">
      <w:pPr>
        <w:pStyle w:val="ListParagraph"/>
        <w:numPr>
          <w:ilvl w:val="3"/>
          <w:numId w:val="13"/>
        </w:numPr>
        <w:tabs>
          <w:tab w:val="clear" w:pos="2520"/>
        </w:tabs>
        <w:ind w:left="567" w:hanging="535"/>
        <w:rPr>
          <w:lang w:eastAsia="en-GB"/>
        </w:rPr>
      </w:pPr>
      <w:r>
        <w:rPr>
          <w:lang w:eastAsia="en-GB"/>
        </w:rPr>
        <w:t>Transport provided in connection with an educational trip.</w:t>
      </w:r>
    </w:p>
    <w:p w14:paraId="40F1105F" w14:textId="77777777" w:rsidR="00D06BBE" w:rsidRPr="0031533D" w:rsidRDefault="00D06BBE" w:rsidP="00D06BBE">
      <w:pPr>
        <w:rPr>
          <w:lang w:eastAsia="en-GB"/>
        </w:rPr>
      </w:pPr>
    </w:p>
    <w:p w14:paraId="1C5F7B8B" w14:textId="646BB4C2" w:rsidR="00521E21" w:rsidRPr="004B740D" w:rsidRDefault="00B7190C" w:rsidP="00C653E8">
      <w:pPr>
        <w:pStyle w:val="Heading2"/>
        <w:rPr>
          <w:rFonts w:eastAsia="Calibri"/>
        </w:rPr>
      </w:pPr>
      <w:bookmarkStart w:id="16" w:name="_Toc133061091"/>
      <w:r>
        <w:rPr>
          <w:rFonts w:eastAsia="Calibri"/>
        </w:rPr>
        <w:t>Approved Charges</w:t>
      </w:r>
      <w:bookmarkEnd w:id="16"/>
    </w:p>
    <w:p w14:paraId="42FFEB54" w14:textId="77777777" w:rsidR="00B7190C" w:rsidRDefault="00B7190C" w:rsidP="00B7190C">
      <w:pPr>
        <w:rPr>
          <w:rFonts w:cstheme="minorHAnsi"/>
        </w:rPr>
      </w:pPr>
      <w:r>
        <w:rPr>
          <w:rFonts w:cstheme="minorHAnsi"/>
        </w:rPr>
        <w:t>The Governing Board has approved charges for:</w:t>
      </w:r>
    </w:p>
    <w:p w14:paraId="6EF3D6EB" w14:textId="77777777" w:rsidR="00B7190C" w:rsidRDefault="00B7190C" w:rsidP="00B7190C">
      <w:pPr>
        <w:pStyle w:val="ListParagraph"/>
        <w:numPr>
          <w:ilvl w:val="0"/>
          <w:numId w:val="15"/>
        </w:numPr>
        <w:rPr>
          <w:rFonts w:cstheme="minorHAnsi"/>
        </w:rPr>
      </w:pPr>
      <w:r>
        <w:rPr>
          <w:rFonts w:cstheme="minorHAnsi"/>
        </w:rPr>
        <w:t>Board and lodging on residential visits (not to exceed the costs)</w:t>
      </w:r>
    </w:p>
    <w:p w14:paraId="1B88FAAC" w14:textId="77777777" w:rsidR="00B7190C" w:rsidRDefault="00B7190C" w:rsidP="00B7190C">
      <w:pPr>
        <w:pStyle w:val="ListParagraph"/>
        <w:numPr>
          <w:ilvl w:val="0"/>
          <w:numId w:val="15"/>
        </w:numPr>
        <w:rPr>
          <w:rFonts w:cstheme="minorHAnsi"/>
        </w:rPr>
      </w:pPr>
      <w:r>
        <w:rPr>
          <w:rFonts w:cstheme="minorHAnsi"/>
        </w:rPr>
        <w:t>The proportionate costs for an individual child to participate in activities wholly or mainly outside school hours (‘optional extras’) to meet the costs for:</w:t>
      </w:r>
    </w:p>
    <w:p w14:paraId="7105515A" w14:textId="77777777" w:rsidR="00B7190C" w:rsidRDefault="00B7190C" w:rsidP="00B7190C">
      <w:pPr>
        <w:pStyle w:val="ListParagraph"/>
        <w:numPr>
          <w:ilvl w:val="2"/>
          <w:numId w:val="16"/>
        </w:numPr>
        <w:rPr>
          <w:rFonts w:cstheme="minorHAnsi"/>
        </w:rPr>
      </w:pPr>
      <w:r>
        <w:rPr>
          <w:rFonts w:cstheme="minorHAnsi"/>
        </w:rPr>
        <w:t>Travel</w:t>
      </w:r>
    </w:p>
    <w:p w14:paraId="740EE4BA" w14:textId="77777777" w:rsidR="00B7190C" w:rsidRDefault="00B7190C" w:rsidP="00B7190C">
      <w:pPr>
        <w:pStyle w:val="ListParagraph"/>
        <w:numPr>
          <w:ilvl w:val="2"/>
          <w:numId w:val="16"/>
        </w:numPr>
        <w:rPr>
          <w:rFonts w:cstheme="minorHAnsi"/>
        </w:rPr>
      </w:pPr>
      <w:r>
        <w:rPr>
          <w:rFonts w:cstheme="minorHAnsi"/>
        </w:rPr>
        <w:t>Materials and equipment</w:t>
      </w:r>
    </w:p>
    <w:p w14:paraId="7A69974C" w14:textId="77777777" w:rsidR="00B7190C" w:rsidRDefault="00B7190C" w:rsidP="00B7190C">
      <w:pPr>
        <w:pStyle w:val="ListParagraph"/>
        <w:numPr>
          <w:ilvl w:val="2"/>
          <w:numId w:val="16"/>
        </w:numPr>
        <w:rPr>
          <w:rFonts w:cstheme="minorHAnsi"/>
        </w:rPr>
      </w:pPr>
      <w:r>
        <w:rPr>
          <w:rFonts w:cstheme="minorHAnsi"/>
        </w:rPr>
        <w:t>Non-teaching staff costs</w:t>
      </w:r>
    </w:p>
    <w:p w14:paraId="3FDE35D2" w14:textId="77777777" w:rsidR="00B7190C" w:rsidRDefault="00B7190C" w:rsidP="00B7190C">
      <w:pPr>
        <w:pStyle w:val="ListParagraph"/>
        <w:numPr>
          <w:ilvl w:val="2"/>
          <w:numId w:val="16"/>
        </w:numPr>
        <w:rPr>
          <w:rFonts w:cstheme="minorHAnsi"/>
        </w:rPr>
      </w:pPr>
      <w:r>
        <w:rPr>
          <w:rFonts w:cstheme="minorHAnsi"/>
        </w:rPr>
        <w:t>Entrance fees</w:t>
      </w:r>
    </w:p>
    <w:p w14:paraId="4AC392D4" w14:textId="77777777" w:rsidR="00B7190C" w:rsidRDefault="00B7190C" w:rsidP="00B7190C">
      <w:pPr>
        <w:pStyle w:val="ListParagraph"/>
        <w:numPr>
          <w:ilvl w:val="2"/>
          <w:numId w:val="16"/>
        </w:numPr>
        <w:rPr>
          <w:rFonts w:cstheme="minorHAnsi"/>
        </w:rPr>
      </w:pPr>
      <w:r>
        <w:rPr>
          <w:rFonts w:cstheme="minorHAnsi"/>
        </w:rPr>
        <w:t>Insurance costs</w:t>
      </w:r>
    </w:p>
    <w:p w14:paraId="0ABEF8D9" w14:textId="3E82FA17" w:rsidR="005C5EE0" w:rsidRDefault="005C5EE0" w:rsidP="00B7190C">
      <w:pPr>
        <w:pStyle w:val="ListParagraph"/>
        <w:numPr>
          <w:ilvl w:val="0"/>
          <w:numId w:val="15"/>
        </w:numPr>
        <w:rPr>
          <w:rFonts w:cstheme="minorHAnsi"/>
        </w:rPr>
      </w:pPr>
      <w:r>
        <w:rPr>
          <w:rFonts w:cstheme="minorHAnsi"/>
        </w:rPr>
        <w:lastRenderedPageBreak/>
        <w:t>Music tuition (vocal or instrumental) provided either individually or to groups of pupils, provided that the tuition is provided at the request of the pupils’ parents and is additional to the requirements of the National Curriculum.  Charges will not be made:</w:t>
      </w:r>
    </w:p>
    <w:p w14:paraId="4BE4AB2D" w14:textId="41C12576" w:rsidR="00B7190C" w:rsidRDefault="005C5EE0" w:rsidP="005C5EE0">
      <w:pPr>
        <w:pStyle w:val="ListParagraph"/>
        <w:numPr>
          <w:ilvl w:val="1"/>
          <w:numId w:val="15"/>
        </w:numPr>
        <w:rPr>
          <w:rFonts w:cstheme="minorHAnsi"/>
        </w:rPr>
      </w:pPr>
      <w:r>
        <w:rPr>
          <w:rFonts w:cstheme="minorHAnsi"/>
        </w:rPr>
        <w:t>for pupils who are looked after by a local authority.</w:t>
      </w:r>
    </w:p>
    <w:p w14:paraId="5E90FD1E" w14:textId="7E3096B2" w:rsidR="005C5EE0" w:rsidRDefault="005C5EE0" w:rsidP="005C5EE0">
      <w:pPr>
        <w:pStyle w:val="ListParagraph"/>
        <w:numPr>
          <w:ilvl w:val="1"/>
          <w:numId w:val="15"/>
        </w:numPr>
        <w:rPr>
          <w:rFonts w:cstheme="minorHAnsi"/>
        </w:rPr>
      </w:pPr>
      <w:r>
        <w:rPr>
          <w:rFonts w:cstheme="minorHAnsi"/>
        </w:rPr>
        <w:t>If the teaching is provided under the first access to the Key Stage 2 instrumental and vocal tuition programme</w:t>
      </w:r>
    </w:p>
    <w:p w14:paraId="1E87C739" w14:textId="77777777" w:rsidR="00B7190C" w:rsidRDefault="00B7190C" w:rsidP="00B7190C">
      <w:pPr>
        <w:pStyle w:val="ListParagraph"/>
        <w:numPr>
          <w:ilvl w:val="0"/>
          <w:numId w:val="15"/>
        </w:numPr>
        <w:rPr>
          <w:rFonts w:cstheme="minorHAnsi"/>
        </w:rPr>
      </w:pPr>
      <w:r>
        <w:rPr>
          <w:rFonts w:cstheme="minorHAnsi"/>
        </w:rPr>
        <w:t>Breakages and replacements as a result of damages caused wilfully or negligently by pupils, not to exceed the cost of like-for-like replacement</w:t>
      </w:r>
    </w:p>
    <w:p w14:paraId="7F323E37" w14:textId="23E558A4" w:rsidR="00595D3F" w:rsidRDefault="00B7190C" w:rsidP="005C5EE0">
      <w:pPr>
        <w:pStyle w:val="ListParagraph"/>
        <w:numPr>
          <w:ilvl w:val="0"/>
          <w:numId w:val="15"/>
        </w:numPr>
        <w:rPr>
          <w:rFonts w:cstheme="minorHAnsi"/>
        </w:rPr>
      </w:pPr>
      <w:r>
        <w:rPr>
          <w:rFonts w:cstheme="minorHAnsi"/>
        </w:rPr>
        <w:t>Extra-curricular activities and school clubs</w:t>
      </w:r>
      <w:r w:rsidRPr="005C5EE0">
        <w:rPr>
          <w:rFonts w:cstheme="minorHAnsi"/>
        </w:rPr>
        <w:t xml:space="preserve"> </w:t>
      </w:r>
    </w:p>
    <w:p w14:paraId="3086584E" w14:textId="77777777" w:rsidR="005C5EE0" w:rsidRPr="005C5EE0" w:rsidRDefault="005C5EE0" w:rsidP="005C5EE0">
      <w:pPr>
        <w:pStyle w:val="ListParagraph"/>
        <w:rPr>
          <w:rFonts w:cstheme="minorHAnsi"/>
        </w:rPr>
      </w:pPr>
    </w:p>
    <w:p w14:paraId="6148C684" w14:textId="69C0AEA5" w:rsidR="00521E21" w:rsidRPr="004B740D" w:rsidRDefault="00B7190C" w:rsidP="00C653E8">
      <w:pPr>
        <w:pStyle w:val="Heading2"/>
        <w:rPr>
          <w:rFonts w:eastAsia="Calibri"/>
        </w:rPr>
      </w:pPr>
      <w:bookmarkStart w:id="17" w:name="_Toc133061092"/>
      <w:r>
        <w:rPr>
          <w:rFonts w:eastAsia="Calibri"/>
        </w:rPr>
        <w:t>Remissions</w:t>
      </w:r>
      <w:bookmarkEnd w:id="17"/>
    </w:p>
    <w:p w14:paraId="70D83C64" w14:textId="27957738" w:rsidR="002E4FCB" w:rsidRDefault="002E4FCB" w:rsidP="002E4FCB">
      <w:pPr>
        <w:widowControl w:val="0"/>
        <w:autoSpaceDE w:val="0"/>
        <w:autoSpaceDN w:val="0"/>
        <w:adjustRightInd w:val="0"/>
        <w:spacing w:after="0" w:line="240" w:lineRule="auto"/>
        <w:rPr>
          <w:rFonts w:cs="Frutiger-Roman"/>
          <w:szCs w:val="24"/>
          <w:lang w:eastAsia="en-GB"/>
        </w:rPr>
      </w:pPr>
      <w:r>
        <w:rPr>
          <w:rFonts w:cs="Frutiger-Roman"/>
          <w:szCs w:val="24"/>
          <w:lang w:eastAsia="en-GB"/>
        </w:rPr>
        <w:t xml:space="preserve">The </w:t>
      </w:r>
      <w:r w:rsidR="00B7190C">
        <w:rPr>
          <w:rFonts w:cs="Frutiger-Roman"/>
          <w:szCs w:val="24"/>
          <w:lang w:eastAsia="en-GB"/>
        </w:rPr>
        <w:t>following remissions are applicable to each charge</w:t>
      </w:r>
      <w:r w:rsidRPr="002E4FCB">
        <w:rPr>
          <w:rFonts w:cs="Frutiger-Roman"/>
          <w:szCs w:val="24"/>
          <w:lang w:eastAsia="en-GB"/>
        </w:rPr>
        <w:t xml:space="preserve">: </w:t>
      </w:r>
    </w:p>
    <w:p w14:paraId="2C0B6DF2" w14:textId="77777777" w:rsidR="00B7190C" w:rsidRPr="002E4FCB" w:rsidRDefault="00B7190C" w:rsidP="002E4FCB">
      <w:pPr>
        <w:widowControl w:val="0"/>
        <w:autoSpaceDE w:val="0"/>
        <w:autoSpaceDN w:val="0"/>
        <w:adjustRightInd w:val="0"/>
        <w:spacing w:after="0" w:line="240" w:lineRule="auto"/>
        <w:rPr>
          <w:rFonts w:cs="Frutiger-Roman"/>
          <w:szCs w:val="24"/>
          <w:lang w:eastAsia="en-GB"/>
        </w:rPr>
      </w:pPr>
    </w:p>
    <w:p w14:paraId="1B401854" w14:textId="5E273317" w:rsidR="002E4FCB" w:rsidRDefault="00B7190C" w:rsidP="002E4FCB">
      <w:pPr>
        <w:widowControl w:val="0"/>
        <w:numPr>
          <w:ilvl w:val="0"/>
          <w:numId w:val="11"/>
        </w:numPr>
        <w:autoSpaceDE w:val="0"/>
        <w:autoSpaceDN w:val="0"/>
        <w:adjustRightInd w:val="0"/>
        <w:spacing w:after="0" w:line="240" w:lineRule="auto"/>
        <w:rPr>
          <w:rFonts w:cs="Frutiger-Roman"/>
          <w:szCs w:val="24"/>
          <w:lang w:eastAsia="en-GB"/>
        </w:rPr>
      </w:pPr>
      <w:r>
        <w:rPr>
          <w:rFonts w:cs="Frutiger-Roman"/>
          <w:szCs w:val="24"/>
          <w:lang w:eastAsia="en-GB"/>
        </w:rPr>
        <w:t>Children entitled to Pupil Premium, in addition to having a free school lunch entitlement, may also be entitled to remission of charges for board and lodging costs during residential school trips.</w:t>
      </w:r>
    </w:p>
    <w:p w14:paraId="20DFE854" w14:textId="4B3E1185" w:rsidR="00B7190C" w:rsidRPr="002E4FCB" w:rsidRDefault="00AD0C04" w:rsidP="002E4FCB">
      <w:pPr>
        <w:widowControl w:val="0"/>
        <w:numPr>
          <w:ilvl w:val="0"/>
          <w:numId w:val="11"/>
        </w:numPr>
        <w:autoSpaceDE w:val="0"/>
        <w:autoSpaceDN w:val="0"/>
        <w:adjustRightInd w:val="0"/>
        <w:spacing w:after="0" w:line="240" w:lineRule="auto"/>
        <w:rPr>
          <w:rFonts w:cs="Frutiger-Roman"/>
          <w:szCs w:val="24"/>
          <w:lang w:eastAsia="en-GB"/>
        </w:rPr>
      </w:pPr>
      <w:r>
        <w:rPr>
          <w:rFonts w:cs="Frutiger-Roman"/>
          <w:szCs w:val="24"/>
          <w:lang w:eastAsia="en-GB"/>
        </w:rPr>
        <w:t>In addition, children who qualify for remission of board and lodgings on residential trips will be considered for remission of charges to categories b-e below (Voluntary Contributions).  This will depend on each family’s individual circumstances and will be at the discretion of the Headteacher.  The Headteacher will report remissions to governors.</w:t>
      </w:r>
    </w:p>
    <w:p w14:paraId="4DD87489" w14:textId="6E2DF355" w:rsidR="0037362B" w:rsidRDefault="0037362B" w:rsidP="00C653E8">
      <w:pPr>
        <w:pStyle w:val="LGfL2"/>
        <w:rPr>
          <w:rFonts w:cstheme="minorHAnsi"/>
        </w:rPr>
      </w:pPr>
    </w:p>
    <w:p w14:paraId="03FB99EB" w14:textId="0598C81E" w:rsidR="006C0553" w:rsidRPr="004B740D" w:rsidRDefault="00AD0C04" w:rsidP="00C653E8">
      <w:pPr>
        <w:pStyle w:val="Heading2"/>
        <w:rPr>
          <w:rFonts w:eastAsia="Calibri"/>
          <w:highlight w:val="yellow"/>
        </w:rPr>
      </w:pPr>
      <w:bookmarkStart w:id="18" w:name="_Toc133061093"/>
      <w:r>
        <w:rPr>
          <w:lang w:eastAsia="en-GB"/>
        </w:rPr>
        <w:t>Voluntary Contributions</w:t>
      </w:r>
      <w:bookmarkEnd w:id="18"/>
    </w:p>
    <w:p w14:paraId="4453B67F" w14:textId="1B5C9872" w:rsidR="005C5EE0" w:rsidRPr="009A31B1" w:rsidRDefault="005C5EE0" w:rsidP="005C5EE0">
      <w:pPr>
        <w:spacing w:after="0" w:line="240" w:lineRule="auto"/>
        <w:rPr>
          <w:lang w:eastAsia="en-GB"/>
        </w:rPr>
      </w:pPr>
      <w:r w:rsidRPr="009A31B1">
        <w:rPr>
          <w:lang w:eastAsia="en-GB"/>
        </w:rPr>
        <w:t xml:space="preserve">As an exception to the requirements set out in </w:t>
      </w:r>
      <w:r w:rsidRPr="005C5EE0">
        <w:rPr>
          <w:b/>
          <w:i/>
          <w:lang w:eastAsia="en-GB"/>
        </w:rPr>
        <w:t>APPROVED CHARGES</w:t>
      </w:r>
      <w:r w:rsidRPr="009A31B1">
        <w:rPr>
          <w:lang w:eastAsia="en-GB"/>
        </w:rPr>
        <w:t xml:space="preserve">, the school is able to ask for voluntary contributions from parents to fund activities which would not otherwise be possible. </w:t>
      </w:r>
    </w:p>
    <w:p w14:paraId="5A8D0239" w14:textId="3A1C468F" w:rsidR="005C5EE0" w:rsidRDefault="005C5EE0" w:rsidP="005C5EE0">
      <w:pPr>
        <w:spacing w:after="0" w:line="240" w:lineRule="auto"/>
        <w:rPr>
          <w:lang w:eastAsia="en-GB"/>
        </w:rPr>
      </w:pPr>
      <w:r w:rsidRPr="009A31B1">
        <w:rPr>
          <w:lang w:eastAsia="en-GB"/>
        </w:rPr>
        <w:t>Some activities for which the school may ask parents for voluntary contributions include:</w:t>
      </w:r>
    </w:p>
    <w:p w14:paraId="69CBBBB5" w14:textId="77777777" w:rsidR="005C5EE0" w:rsidRPr="009A31B1" w:rsidRDefault="005C5EE0" w:rsidP="005C5EE0">
      <w:pPr>
        <w:spacing w:after="0" w:line="240" w:lineRule="auto"/>
        <w:rPr>
          <w:lang w:eastAsia="en-GB"/>
        </w:rPr>
      </w:pPr>
    </w:p>
    <w:p w14:paraId="643BC294" w14:textId="1CC3C10C" w:rsidR="00AD0C04" w:rsidRDefault="00AD0C04" w:rsidP="00AD0C04">
      <w:pPr>
        <w:pStyle w:val="ListParagraph"/>
        <w:numPr>
          <w:ilvl w:val="0"/>
          <w:numId w:val="18"/>
        </w:numPr>
        <w:rPr>
          <w:lang w:eastAsia="en-GB"/>
        </w:rPr>
      </w:pPr>
      <w:r>
        <w:rPr>
          <w:lang w:eastAsia="en-GB"/>
        </w:rPr>
        <w:t>Transport costs</w:t>
      </w:r>
    </w:p>
    <w:p w14:paraId="1CD1AC6C" w14:textId="4D23A2BB" w:rsidR="00AD0C04" w:rsidRDefault="00AD0C04" w:rsidP="00AD0C04">
      <w:pPr>
        <w:pStyle w:val="ListParagraph"/>
        <w:numPr>
          <w:ilvl w:val="0"/>
          <w:numId w:val="18"/>
        </w:numPr>
        <w:rPr>
          <w:lang w:eastAsia="en-GB"/>
        </w:rPr>
      </w:pPr>
      <w:r>
        <w:rPr>
          <w:lang w:eastAsia="en-GB"/>
        </w:rPr>
        <w:t>Entrance fees</w:t>
      </w:r>
    </w:p>
    <w:p w14:paraId="6B26B20D" w14:textId="238B9772" w:rsidR="00AD0C04" w:rsidRDefault="00AD0C04" w:rsidP="00AD0C04">
      <w:pPr>
        <w:pStyle w:val="ListParagraph"/>
        <w:numPr>
          <w:ilvl w:val="0"/>
          <w:numId w:val="18"/>
        </w:numPr>
        <w:rPr>
          <w:lang w:eastAsia="en-GB"/>
        </w:rPr>
      </w:pPr>
      <w:r>
        <w:rPr>
          <w:lang w:eastAsia="en-GB"/>
        </w:rPr>
        <w:t>Visits to the school by performers and artists</w:t>
      </w:r>
    </w:p>
    <w:p w14:paraId="3D3DBECA" w14:textId="2E8C7DE5" w:rsidR="00AD0C04" w:rsidRDefault="00AD0C04" w:rsidP="00AD0C04">
      <w:pPr>
        <w:pStyle w:val="ListParagraph"/>
        <w:numPr>
          <w:ilvl w:val="0"/>
          <w:numId w:val="18"/>
        </w:numPr>
        <w:rPr>
          <w:lang w:eastAsia="en-GB"/>
        </w:rPr>
      </w:pPr>
      <w:r>
        <w:rPr>
          <w:lang w:eastAsia="en-GB"/>
        </w:rPr>
        <w:t>Visits to the school for curriculum enhancement</w:t>
      </w:r>
    </w:p>
    <w:p w14:paraId="5EC684D2" w14:textId="48CD3540" w:rsidR="00AD0C04" w:rsidRDefault="00AD0C04" w:rsidP="00AD0C04">
      <w:pPr>
        <w:pStyle w:val="ListParagraph"/>
        <w:numPr>
          <w:ilvl w:val="0"/>
          <w:numId w:val="18"/>
        </w:numPr>
        <w:rPr>
          <w:lang w:eastAsia="en-GB"/>
        </w:rPr>
      </w:pPr>
      <w:r>
        <w:rPr>
          <w:lang w:eastAsia="en-GB"/>
        </w:rPr>
        <w:t xml:space="preserve">Extra resources for special events, </w:t>
      </w:r>
      <w:proofErr w:type="spellStart"/>
      <w:r>
        <w:rPr>
          <w:lang w:eastAsia="en-GB"/>
        </w:rPr>
        <w:t>eg.</w:t>
      </w:r>
      <w:proofErr w:type="spellEnd"/>
      <w:r>
        <w:rPr>
          <w:lang w:eastAsia="en-GB"/>
        </w:rPr>
        <w:t xml:space="preserve"> Cookery</w:t>
      </w:r>
    </w:p>
    <w:p w14:paraId="4D7FB591" w14:textId="4B1D1617" w:rsidR="00AD0C04" w:rsidRDefault="00AD0C04" w:rsidP="00AD0C04">
      <w:pPr>
        <w:pStyle w:val="ListParagraph"/>
        <w:numPr>
          <w:ilvl w:val="0"/>
          <w:numId w:val="18"/>
        </w:numPr>
        <w:rPr>
          <w:lang w:eastAsia="en-GB"/>
        </w:rPr>
      </w:pPr>
      <w:r>
        <w:rPr>
          <w:lang w:eastAsia="en-GB"/>
        </w:rPr>
        <w:t>Celebrations</w:t>
      </w:r>
    </w:p>
    <w:p w14:paraId="542E42C6" w14:textId="728D0330" w:rsidR="005C5EE0" w:rsidRDefault="005C5EE0" w:rsidP="005C5EE0">
      <w:pPr>
        <w:rPr>
          <w:lang w:eastAsia="en-GB"/>
        </w:rPr>
      </w:pPr>
      <w:r>
        <w:rPr>
          <w:lang w:eastAsia="en-GB"/>
        </w:rPr>
        <w:t xml:space="preserve">There is no obligation for parents to make any contribution, and no child will be excluded from an activity if their parents are unwilling or unable to pay. </w:t>
      </w:r>
      <w:r>
        <w:rPr>
          <w:lang w:eastAsia="en-GB"/>
        </w:rPr>
        <w:t xml:space="preserve"> However, where the school </w:t>
      </w:r>
      <w:r>
        <w:rPr>
          <w:lang w:eastAsia="en-GB"/>
        </w:rPr>
        <w:t>is unable to raise enough funds for an activity or visit then</w:t>
      </w:r>
      <w:bookmarkStart w:id="19" w:name="_GoBack"/>
      <w:bookmarkEnd w:id="19"/>
      <w:r>
        <w:rPr>
          <w:lang w:eastAsia="en-GB"/>
        </w:rPr>
        <w:t xml:space="preserve"> it </w:t>
      </w:r>
      <w:r>
        <w:rPr>
          <w:lang w:eastAsia="en-GB"/>
        </w:rPr>
        <w:t>may</w:t>
      </w:r>
      <w:r>
        <w:rPr>
          <w:lang w:eastAsia="en-GB"/>
        </w:rPr>
        <w:t xml:space="preserve"> be cancelled</w:t>
      </w:r>
      <w:r>
        <w:rPr>
          <w:lang w:eastAsia="en-GB"/>
        </w:rPr>
        <w:t xml:space="preserve"> at the discretion of the headteacher</w:t>
      </w:r>
      <w:r>
        <w:rPr>
          <w:lang w:eastAsia="en-GB"/>
        </w:rPr>
        <w:t>.</w:t>
      </w:r>
    </w:p>
    <w:p w14:paraId="2E0207F2" w14:textId="09FD4434" w:rsidR="00AD0C04" w:rsidRDefault="00AD0C04" w:rsidP="00AD0C04">
      <w:pPr>
        <w:rPr>
          <w:lang w:eastAsia="en-GB"/>
        </w:rPr>
      </w:pPr>
      <w:r>
        <w:rPr>
          <w:lang w:eastAsia="en-GB"/>
        </w:rPr>
        <w:t>The terms of any request for Voluntary Contributions made to parents will specify that the payment of the charge is an indicative voluntary contribution only and in no way represents a compulsory charge.  All correspondence to parents will make it clear that:</w:t>
      </w:r>
    </w:p>
    <w:p w14:paraId="0B5F6BBB" w14:textId="77777777" w:rsidR="00AD0C04" w:rsidRDefault="00AD0C04" w:rsidP="00AD0C04">
      <w:pPr>
        <w:pStyle w:val="ListParagraph"/>
        <w:numPr>
          <w:ilvl w:val="0"/>
          <w:numId w:val="19"/>
        </w:numPr>
        <w:rPr>
          <w:lang w:eastAsia="en-GB"/>
        </w:rPr>
      </w:pPr>
      <w:r>
        <w:rPr>
          <w:lang w:eastAsia="en-GB"/>
        </w:rPr>
        <w:t>The payment is genuinely voluntary – the parent is under no obligation to pay</w:t>
      </w:r>
    </w:p>
    <w:p w14:paraId="5FCC0942" w14:textId="77777777" w:rsidR="00AD0C04" w:rsidRDefault="00AD0C04" w:rsidP="00AD0C04">
      <w:pPr>
        <w:pStyle w:val="ListParagraph"/>
        <w:numPr>
          <w:ilvl w:val="0"/>
          <w:numId w:val="19"/>
        </w:numPr>
        <w:rPr>
          <w:lang w:eastAsia="en-GB"/>
        </w:rPr>
      </w:pPr>
      <w:r>
        <w:rPr>
          <w:lang w:eastAsia="en-GB"/>
        </w:rPr>
        <w:lastRenderedPageBreak/>
        <w:t>Registered pupils at the school will not be treated differently according to whether or not their parents have made any contribution in response to the request.</w:t>
      </w:r>
    </w:p>
    <w:p w14:paraId="01FD87C8" w14:textId="77777777" w:rsidR="00AD0C04" w:rsidRDefault="00AD0C04" w:rsidP="00AD0C04">
      <w:pPr>
        <w:rPr>
          <w:lang w:eastAsia="en-GB"/>
        </w:rPr>
      </w:pPr>
      <w:r>
        <w:rPr>
          <w:lang w:eastAsia="en-GB"/>
        </w:rPr>
        <w:t>The responsibility for determining the level of voluntary contribution is delegated to the Headteacher.</w:t>
      </w:r>
    </w:p>
    <w:p w14:paraId="36A25CED" w14:textId="77777777" w:rsidR="00AD0C04" w:rsidRPr="004B740D" w:rsidRDefault="00AD0C04" w:rsidP="00AD0C04">
      <w:pPr>
        <w:pStyle w:val="Heading2"/>
      </w:pPr>
      <w:bookmarkStart w:id="20" w:name="_Toc522713293"/>
      <w:bookmarkStart w:id="21" w:name="_Toc133061094"/>
      <w:r w:rsidRPr="004B740D">
        <w:t>How will this policy be communicated?</w:t>
      </w:r>
      <w:bookmarkEnd w:id="20"/>
      <w:bookmarkEnd w:id="21"/>
    </w:p>
    <w:p w14:paraId="0DD3C6A5" w14:textId="77777777" w:rsidR="00AD0C04" w:rsidRPr="004B740D" w:rsidRDefault="00AD0C04" w:rsidP="00AD0C04">
      <w:r w:rsidRPr="004B740D">
        <w:t xml:space="preserve">This policy must be accessible to and understood by all stakeholders. It will be communicated in the following ways: </w:t>
      </w:r>
    </w:p>
    <w:p w14:paraId="1078538E" w14:textId="77777777" w:rsidR="00AD0C04" w:rsidRDefault="00AD0C04" w:rsidP="00AD0C04">
      <w:pPr>
        <w:pStyle w:val="List1"/>
      </w:pPr>
      <w:r w:rsidRPr="004B740D">
        <w:t>Posted on the school website</w:t>
      </w:r>
      <w:r>
        <w:t>.</w:t>
      </w:r>
    </w:p>
    <w:p w14:paraId="732A171F" w14:textId="77777777" w:rsidR="00AD0C04" w:rsidRPr="004B740D" w:rsidRDefault="00AD0C04" w:rsidP="00AD0C04">
      <w:pPr>
        <w:pStyle w:val="List1"/>
      </w:pPr>
      <w:r>
        <w:t>Available on the</w:t>
      </w:r>
      <w:r w:rsidRPr="004B740D">
        <w:t xml:space="preserve"> internal staff network</w:t>
      </w:r>
      <w:r>
        <w:t>/drive.</w:t>
      </w:r>
    </w:p>
    <w:sectPr w:rsidR="00AD0C04" w:rsidRPr="004B740D" w:rsidSect="00321045">
      <w:headerReference w:type="default" r:id="rId12"/>
      <w:footerReference w:type="default" r:id="rId13"/>
      <w:pgSz w:w="11906" w:h="16838"/>
      <w:pgMar w:top="567"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AB81" w14:textId="77777777" w:rsidR="00B7190C" w:rsidRDefault="00B7190C" w:rsidP="00C653E8">
      <w:r>
        <w:separator/>
      </w:r>
    </w:p>
  </w:endnote>
  <w:endnote w:type="continuationSeparator" w:id="0">
    <w:p w14:paraId="442113D7" w14:textId="77777777" w:rsidR="00B7190C" w:rsidRDefault="00B7190C"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Roman">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BFA" w14:textId="6BE1016A" w:rsidR="00B7190C" w:rsidRPr="009A29FA" w:rsidRDefault="00B7190C" w:rsidP="009A29FA">
    <w:pPr>
      <w:pStyle w:val="Footer"/>
      <w:jc w:val="center"/>
      <w:rPr>
        <w:noProof/>
      </w:rPr>
    </w:pPr>
    <w:bookmarkStart w:id="22" w:name="_Hlk518034482"/>
    <w:bookmarkStart w:id="23" w:name="_Hlk518034483"/>
    <w:bookmarkStart w:id="24" w:name="_Hlk518034484"/>
    <w:r>
      <w:rPr>
        <w:noProof/>
        <w:lang w:eastAsia="en-GB"/>
      </w:rPr>
      <mc:AlternateContent>
        <mc:Choice Requires="wps">
          <w:drawing>
            <wp:anchor distT="0" distB="0" distL="114300" distR="114300" simplePos="0" relativeHeight="251660288" behindDoc="0" locked="0" layoutInCell="1" allowOverlap="1" wp14:anchorId="2A7DE9A9" wp14:editId="3B79CC64">
              <wp:simplePos x="0" y="0"/>
              <wp:positionH relativeFrom="column">
                <wp:posOffset>3111500</wp:posOffset>
              </wp:positionH>
              <wp:positionV relativeFrom="paragraph">
                <wp:posOffset>175295</wp:posOffset>
              </wp:positionV>
              <wp:extent cx="184150" cy="131445"/>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14:paraId="4AA2E38E" w14:textId="77777777" w:rsidR="00B7190C" w:rsidRPr="005B5C98" w:rsidRDefault="00B7190C"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Pr="00C653E8">
                            <w:rPr>
                              <w:noProof/>
                              <w:sz w:val="16"/>
                              <w:szCs w:val="16"/>
                            </w:rPr>
                            <w:t>1</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E9A9" id="_x0000_t202" coordsize="21600,21600" o:spt="202" path="m,l,21600r21600,l21600,xe">
              <v:stroke joinstyle="miter"/>
              <v:path gradientshapeok="t" o:connecttype="rect"/>
            </v:shapetype>
            <v:shape id="Text Box 2" o:spid="_x0000_s1026" type="#_x0000_t202" style="position:absolute;left:0;text-align:left;margin-left:245pt;margin-top:13.8pt;width:1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" filled="f" stroked="f" strokeweight=".5pt">
              <v:textbox inset="0,0,0,0">
                <w:txbxContent>
                  <w:p w14:paraId="4AA2E38E" w14:textId="77777777" w:rsidR="00B7190C" w:rsidRPr="005B5C98" w:rsidRDefault="00B7190C"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Pr="00C653E8">
                      <w:rPr>
                        <w:noProof/>
                        <w:sz w:val="16"/>
                        <w:szCs w:val="16"/>
                      </w:rPr>
                      <w:t>1</w:t>
                    </w:r>
                    <w:r w:rsidRPr="00C653E8">
                      <w:rPr>
                        <w:noProof/>
                        <w:sz w:val="16"/>
                        <w:szCs w:val="16"/>
                      </w:rPr>
                      <w:fldChar w:fldCharType="end"/>
                    </w:r>
                  </w:p>
                </w:txbxContent>
              </v:textbox>
            </v:shape>
          </w:pict>
        </mc:Fallback>
      </mc:AlternateContent>
    </w:r>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2D9EB" w14:textId="77777777" w:rsidR="00B7190C" w:rsidRDefault="00B7190C" w:rsidP="00C653E8">
      <w:r>
        <w:separator/>
      </w:r>
    </w:p>
  </w:footnote>
  <w:footnote w:type="continuationSeparator" w:id="0">
    <w:p w14:paraId="58F42256" w14:textId="77777777" w:rsidR="00B7190C" w:rsidRDefault="00B7190C"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87A3" w14:textId="5680EE0D" w:rsidR="00B7190C" w:rsidRPr="008B76AC" w:rsidRDefault="00B7190C" w:rsidP="00FD72DF">
    <w:pPr>
      <w:pStyle w:val="Title1"/>
      <w:spacing w:before="0" w:after="200"/>
      <w:rPr>
        <w:bCs/>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209.55pt;height:332.0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77A88"/>
    <w:multiLevelType w:val="hybridMultilevel"/>
    <w:tmpl w:val="0F86DC4A"/>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D56D1"/>
    <w:multiLevelType w:val="hybridMultilevel"/>
    <w:tmpl w:val="972CE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71A31"/>
    <w:multiLevelType w:val="hybridMultilevel"/>
    <w:tmpl w:val="1BF0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060FF"/>
    <w:multiLevelType w:val="hybridMultilevel"/>
    <w:tmpl w:val="7E784978"/>
    <w:lvl w:ilvl="0" w:tplc="28EC5F82">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40020"/>
    <w:multiLevelType w:val="hybridMultilevel"/>
    <w:tmpl w:val="4134F3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22392"/>
    <w:multiLevelType w:val="hybridMultilevel"/>
    <w:tmpl w:val="BF4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75D26"/>
    <w:multiLevelType w:val="hybridMultilevel"/>
    <w:tmpl w:val="8708C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E01C10"/>
    <w:multiLevelType w:val="hybridMultilevel"/>
    <w:tmpl w:val="7BFC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17E28"/>
    <w:multiLevelType w:val="hybridMultilevel"/>
    <w:tmpl w:val="440C01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E72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936DFB"/>
    <w:multiLevelType w:val="hybridMultilevel"/>
    <w:tmpl w:val="2306E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
  </w:num>
  <w:num w:numId="3">
    <w:abstractNumId w:val="15"/>
  </w:num>
  <w:num w:numId="4">
    <w:abstractNumId w:val="10"/>
  </w:num>
  <w:num w:numId="5">
    <w:abstractNumId w:val="16"/>
  </w:num>
  <w:num w:numId="6">
    <w:abstractNumId w:val="7"/>
  </w:num>
  <w:num w:numId="7">
    <w:abstractNumId w:val="4"/>
  </w:num>
  <w:num w:numId="8">
    <w:abstractNumId w:val="19"/>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2"/>
  </w:num>
  <w:num w:numId="12">
    <w:abstractNumId w:val="11"/>
  </w:num>
  <w:num w:numId="13">
    <w:abstractNumId w:val="9"/>
  </w:num>
  <w:num w:numId="14">
    <w:abstractNumId w:val="14"/>
  </w:num>
  <w:num w:numId="15">
    <w:abstractNumId w:val="8"/>
  </w:num>
  <w:num w:numId="16">
    <w:abstractNumId w:val="17"/>
  </w:num>
  <w:num w:numId="17">
    <w:abstractNumId w:val="13"/>
  </w:num>
  <w:num w:numId="18">
    <w:abstractNumId w:val="18"/>
  </w:num>
  <w:num w:numId="19">
    <w:abstractNumId w:val="6"/>
  </w:num>
  <w:num w:numId="20">
    <w:abstractNumId w:val="20"/>
  </w:num>
  <w:num w:numId="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Formatting/>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54E"/>
    <w:rsid w:val="00003D6F"/>
    <w:rsid w:val="0000527E"/>
    <w:rsid w:val="00006480"/>
    <w:rsid w:val="00011257"/>
    <w:rsid w:val="000146DB"/>
    <w:rsid w:val="000201D2"/>
    <w:rsid w:val="000211F9"/>
    <w:rsid w:val="000241E4"/>
    <w:rsid w:val="00024C1B"/>
    <w:rsid w:val="00026564"/>
    <w:rsid w:val="000265F1"/>
    <w:rsid w:val="000278E5"/>
    <w:rsid w:val="00042F77"/>
    <w:rsid w:val="000463DD"/>
    <w:rsid w:val="000474B9"/>
    <w:rsid w:val="00050D20"/>
    <w:rsid w:val="00054335"/>
    <w:rsid w:val="00061056"/>
    <w:rsid w:val="00066DDC"/>
    <w:rsid w:val="00083676"/>
    <w:rsid w:val="00085DEC"/>
    <w:rsid w:val="00086B33"/>
    <w:rsid w:val="00094CF8"/>
    <w:rsid w:val="000A3863"/>
    <w:rsid w:val="000A3B6F"/>
    <w:rsid w:val="000B33EE"/>
    <w:rsid w:val="000B3691"/>
    <w:rsid w:val="000C06BC"/>
    <w:rsid w:val="000C21DF"/>
    <w:rsid w:val="000C6231"/>
    <w:rsid w:val="000C6605"/>
    <w:rsid w:val="000C7D69"/>
    <w:rsid w:val="000D05BB"/>
    <w:rsid w:val="000D0E33"/>
    <w:rsid w:val="000D1D4E"/>
    <w:rsid w:val="000D416A"/>
    <w:rsid w:val="000D4A11"/>
    <w:rsid w:val="000D59E1"/>
    <w:rsid w:val="000D72E5"/>
    <w:rsid w:val="000E05B3"/>
    <w:rsid w:val="000E549E"/>
    <w:rsid w:val="000E57B8"/>
    <w:rsid w:val="000F3E0F"/>
    <w:rsid w:val="00103285"/>
    <w:rsid w:val="00111A51"/>
    <w:rsid w:val="0011476B"/>
    <w:rsid w:val="00114EAB"/>
    <w:rsid w:val="00117178"/>
    <w:rsid w:val="001221D0"/>
    <w:rsid w:val="001256EE"/>
    <w:rsid w:val="001430D8"/>
    <w:rsid w:val="00146B18"/>
    <w:rsid w:val="00147EB0"/>
    <w:rsid w:val="0016080F"/>
    <w:rsid w:val="001630DE"/>
    <w:rsid w:val="001708E4"/>
    <w:rsid w:val="00173ED0"/>
    <w:rsid w:val="001752EF"/>
    <w:rsid w:val="00177E44"/>
    <w:rsid w:val="00181347"/>
    <w:rsid w:val="0018576C"/>
    <w:rsid w:val="00186F30"/>
    <w:rsid w:val="001A1B60"/>
    <w:rsid w:val="001A2F69"/>
    <w:rsid w:val="001A6098"/>
    <w:rsid w:val="001B0E0F"/>
    <w:rsid w:val="001B5CB2"/>
    <w:rsid w:val="001B699E"/>
    <w:rsid w:val="001C2F5F"/>
    <w:rsid w:val="001C520D"/>
    <w:rsid w:val="001C6312"/>
    <w:rsid w:val="001D0684"/>
    <w:rsid w:val="001D45EC"/>
    <w:rsid w:val="001D7806"/>
    <w:rsid w:val="001D7BEF"/>
    <w:rsid w:val="001E01B3"/>
    <w:rsid w:val="001E061C"/>
    <w:rsid w:val="001E334C"/>
    <w:rsid w:val="001E3F46"/>
    <w:rsid w:val="001E559E"/>
    <w:rsid w:val="001F2FA7"/>
    <w:rsid w:val="002034BA"/>
    <w:rsid w:val="002065CF"/>
    <w:rsid w:val="00211073"/>
    <w:rsid w:val="002159AA"/>
    <w:rsid w:val="00217930"/>
    <w:rsid w:val="00232DD1"/>
    <w:rsid w:val="00236C60"/>
    <w:rsid w:val="00241E58"/>
    <w:rsid w:val="002445E7"/>
    <w:rsid w:val="00253ECF"/>
    <w:rsid w:val="00253FC2"/>
    <w:rsid w:val="00254EE4"/>
    <w:rsid w:val="00263CB8"/>
    <w:rsid w:val="0026527F"/>
    <w:rsid w:val="00266944"/>
    <w:rsid w:val="00266C58"/>
    <w:rsid w:val="00285EF4"/>
    <w:rsid w:val="00287046"/>
    <w:rsid w:val="00294224"/>
    <w:rsid w:val="002975DA"/>
    <w:rsid w:val="002A190A"/>
    <w:rsid w:val="002A52B3"/>
    <w:rsid w:val="002B136E"/>
    <w:rsid w:val="002B1FF0"/>
    <w:rsid w:val="002B2E86"/>
    <w:rsid w:val="002B5E58"/>
    <w:rsid w:val="002B7615"/>
    <w:rsid w:val="002C091D"/>
    <w:rsid w:val="002C3201"/>
    <w:rsid w:val="002C435C"/>
    <w:rsid w:val="002C4991"/>
    <w:rsid w:val="002C7459"/>
    <w:rsid w:val="002C79C1"/>
    <w:rsid w:val="002D297D"/>
    <w:rsid w:val="002D38D6"/>
    <w:rsid w:val="002D5F14"/>
    <w:rsid w:val="002E4FCB"/>
    <w:rsid w:val="002F68AB"/>
    <w:rsid w:val="00300B65"/>
    <w:rsid w:val="00303410"/>
    <w:rsid w:val="0030767B"/>
    <w:rsid w:val="00307D69"/>
    <w:rsid w:val="00310DC2"/>
    <w:rsid w:val="00310FA9"/>
    <w:rsid w:val="00313F90"/>
    <w:rsid w:val="00321045"/>
    <w:rsid w:val="00325241"/>
    <w:rsid w:val="0033297D"/>
    <w:rsid w:val="00336EC8"/>
    <w:rsid w:val="00344979"/>
    <w:rsid w:val="003452FA"/>
    <w:rsid w:val="003466C8"/>
    <w:rsid w:val="003513BC"/>
    <w:rsid w:val="003524CC"/>
    <w:rsid w:val="00363008"/>
    <w:rsid w:val="00365DBC"/>
    <w:rsid w:val="00370557"/>
    <w:rsid w:val="0037362B"/>
    <w:rsid w:val="00381694"/>
    <w:rsid w:val="00381B56"/>
    <w:rsid w:val="0038633E"/>
    <w:rsid w:val="0038790B"/>
    <w:rsid w:val="00391BB0"/>
    <w:rsid w:val="00392432"/>
    <w:rsid w:val="003B66A2"/>
    <w:rsid w:val="003C055B"/>
    <w:rsid w:val="003C1D88"/>
    <w:rsid w:val="003C4F62"/>
    <w:rsid w:val="003D1628"/>
    <w:rsid w:val="003D3DAE"/>
    <w:rsid w:val="003D4C4D"/>
    <w:rsid w:val="003D5303"/>
    <w:rsid w:val="003E28DF"/>
    <w:rsid w:val="003F1054"/>
    <w:rsid w:val="003F6C2D"/>
    <w:rsid w:val="003F7AA2"/>
    <w:rsid w:val="004005F6"/>
    <w:rsid w:val="00404289"/>
    <w:rsid w:val="004108C9"/>
    <w:rsid w:val="004113BA"/>
    <w:rsid w:val="004122E3"/>
    <w:rsid w:val="004125CF"/>
    <w:rsid w:val="00413672"/>
    <w:rsid w:val="004323C7"/>
    <w:rsid w:val="00433B11"/>
    <w:rsid w:val="004357D7"/>
    <w:rsid w:val="0044020E"/>
    <w:rsid w:val="00441C58"/>
    <w:rsid w:val="00441E67"/>
    <w:rsid w:val="00441EE7"/>
    <w:rsid w:val="0044334D"/>
    <w:rsid w:val="00447FFE"/>
    <w:rsid w:val="00457C04"/>
    <w:rsid w:val="00460170"/>
    <w:rsid w:val="004647F5"/>
    <w:rsid w:val="00464B22"/>
    <w:rsid w:val="004733C5"/>
    <w:rsid w:val="00473A1A"/>
    <w:rsid w:val="004743E7"/>
    <w:rsid w:val="00475CC8"/>
    <w:rsid w:val="00481092"/>
    <w:rsid w:val="00483BD4"/>
    <w:rsid w:val="004840D8"/>
    <w:rsid w:val="00490CC8"/>
    <w:rsid w:val="004911BF"/>
    <w:rsid w:val="004926A2"/>
    <w:rsid w:val="0049285F"/>
    <w:rsid w:val="004A2827"/>
    <w:rsid w:val="004A30A1"/>
    <w:rsid w:val="004A76C0"/>
    <w:rsid w:val="004B1CBE"/>
    <w:rsid w:val="004B23B9"/>
    <w:rsid w:val="004B740D"/>
    <w:rsid w:val="004C217B"/>
    <w:rsid w:val="004C74D7"/>
    <w:rsid w:val="004C7724"/>
    <w:rsid w:val="004D2FDF"/>
    <w:rsid w:val="004D7012"/>
    <w:rsid w:val="004E22C8"/>
    <w:rsid w:val="004E3CF7"/>
    <w:rsid w:val="004E501B"/>
    <w:rsid w:val="004E630B"/>
    <w:rsid w:val="004E7794"/>
    <w:rsid w:val="0050784C"/>
    <w:rsid w:val="005113E6"/>
    <w:rsid w:val="00514685"/>
    <w:rsid w:val="00514F9E"/>
    <w:rsid w:val="005161AF"/>
    <w:rsid w:val="00520028"/>
    <w:rsid w:val="00521E21"/>
    <w:rsid w:val="00524E06"/>
    <w:rsid w:val="0053211C"/>
    <w:rsid w:val="00543E2B"/>
    <w:rsid w:val="005446E9"/>
    <w:rsid w:val="005612FC"/>
    <w:rsid w:val="005639CC"/>
    <w:rsid w:val="00565273"/>
    <w:rsid w:val="00567CDD"/>
    <w:rsid w:val="00574EE3"/>
    <w:rsid w:val="005752E6"/>
    <w:rsid w:val="005776B6"/>
    <w:rsid w:val="00585D10"/>
    <w:rsid w:val="0059498F"/>
    <w:rsid w:val="00595D3F"/>
    <w:rsid w:val="00597DB3"/>
    <w:rsid w:val="005A36C4"/>
    <w:rsid w:val="005A586B"/>
    <w:rsid w:val="005B4B4B"/>
    <w:rsid w:val="005B53A1"/>
    <w:rsid w:val="005C1C45"/>
    <w:rsid w:val="005C2B1E"/>
    <w:rsid w:val="005C5EE0"/>
    <w:rsid w:val="005C76A4"/>
    <w:rsid w:val="005C7B7C"/>
    <w:rsid w:val="005D2C4F"/>
    <w:rsid w:val="005D327C"/>
    <w:rsid w:val="005D3F25"/>
    <w:rsid w:val="005D692C"/>
    <w:rsid w:val="005E19C4"/>
    <w:rsid w:val="005F219E"/>
    <w:rsid w:val="005F26FB"/>
    <w:rsid w:val="005F2BEB"/>
    <w:rsid w:val="00602191"/>
    <w:rsid w:val="006022E2"/>
    <w:rsid w:val="00602541"/>
    <w:rsid w:val="006036D0"/>
    <w:rsid w:val="00613380"/>
    <w:rsid w:val="00616452"/>
    <w:rsid w:val="00630118"/>
    <w:rsid w:val="006379B5"/>
    <w:rsid w:val="0064076F"/>
    <w:rsid w:val="00643200"/>
    <w:rsid w:val="00644171"/>
    <w:rsid w:val="006452C4"/>
    <w:rsid w:val="00646EC1"/>
    <w:rsid w:val="00652C36"/>
    <w:rsid w:val="00654586"/>
    <w:rsid w:val="0066009E"/>
    <w:rsid w:val="00664467"/>
    <w:rsid w:val="00670DD4"/>
    <w:rsid w:val="006710D2"/>
    <w:rsid w:val="006718F2"/>
    <w:rsid w:val="00672DDE"/>
    <w:rsid w:val="006808F3"/>
    <w:rsid w:val="0068145D"/>
    <w:rsid w:val="006837C3"/>
    <w:rsid w:val="00687FF4"/>
    <w:rsid w:val="00690CB2"/>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E6603"/>
    <w:rsid w:val="006F5DBC"/>
    <w:rsid w:val="006F6AB2"/>
    <w:rsid w:val="006F7F55"/>
    <w:rsid w:val="00701B06"/>
    <w:rsid w:val="007028AC"/>
    <w:rsid w:val="0070490E"/>
    <w:rsid w:val="007073BB"/>
    <w:rsid w:val="00707839"/>
    <w:rsid w:val="00711A9C"/>
    <w:rsid w:val="00714C39"/>
    <w:rsid w:val="00717188"/>
    <w:rsid w:val="007216B8"/>
    <w:rsid w:val="00723778"/>
    <w:rsid w:val="00732D26"/>
    <w:rsid w:val="007347F5"/>
    <w:rsid w:val="00750F28"/>
    <w:rsid w:val="00752E21"/>
    <w:rsid w:val="0076371D"/>
    <w:rsid w:val="00767728"/>
    <w:rsid w:val="0076773C"/>
    <w:rsid w:val="00767827"/>
    <w:rsid w:val="00771AA9"/>
    <w:rsid w:val="00772D01"/>
    <w:rsid w:val="0077758C"/>
    <w:rsid w:val="00777FC9"/>
    <w:rsid w:val="00781B04"/>
    <w:rsid w:val="00782D1B"/>
    <w:rsid w:val="00785945"/>
    <w:rsid w:val="007878B3"/>
    <w:rsid w:val="00792002"/>
    <w:rsid w:val="007924FE"/>
    <w:rsid w:val="00793992"/>
    <w:rsid w:val="007947EF"/>
    <w:rsid w:val="00795DCC"/>
    <w:rsid w:val="007A5911"/>
    <w:rsid w:val="007B2491"/>
    <w:rsid w:val="007B548C"/>
    <w:rsid w:val="007C4EA7"/>
    <w:rsid w:val="007D24BA"/>
    <w:rsid w:val="007E283F"/>
    <w:rsid w:val="007E39C9"/>
    <w:rsid w:val="007E67D6"/>
    <w:rsid w:val="007E6FC2"/>
    <w:rsid w:val="007F1310"/>
    <w:rsid w:val="007F5026"/>
    <w:rsid w:val="007F66ED"/>
    <w:rsid w:val="007F7150"/>
    <w:rsid w:val="00800A20"/>
    <w:rsid w:val="00803014"/>
    <w:rsid w:val="00803FE5"/>
    <w:rsid w:val="00804E1E"/>
    <w:rsid w:val="00810DD2"/>
    <w:rsid w:val="008142B6"/>
    <w:rsid w:val="00817467"/>
    <w:rsid w:val="00822B20"/>
    <w:rsid w:val="00823680"/>
    <w:rsid w:val="00824F22"/>
    <w:rsid w:val="00830BA3"/>
    <w:rsid w:val="0083312D"/>
    <w:rsid w:val="00833E9C"/>
    <w:rsid w:val="008347F5"/>
    <w:rsid w:val="0083715B"/>
    <w:rsid w:val="0084237E"/>
    <w:rsid w:val="00851546"/>
    <w:rsid w:val="008569DA"/>
    <w:rsid w:val="00861942"/>
    <w:rsid w:val="00870BEF"/>
    <w:rsid w:val="00874208"/>
    <w:rsid w:val="0087448B"/>
    <w:rsid w:val="008802EE"/>
    <w:rsid w:val="008842B2"/>
    <w:rsid w:val="008846EE"/>
    <w:rsid w:val="00886516"/>
    <w:rsid w:val="00886B98"/>
    <w:rsid w:val="008946A6"/>
    <w:rsid w:val="008950DD"/>
    <w:rsid w:val="008A2A3C"/>
    <w:rsid w:val="008B03D4"/>
    <w:rsid w:val="008B76AC"/>
    <w:rsid w:val="008C14EF"/>
    <w:rsid w:val="008C437F"/>
    <w:rsid w:val="008C597F"/>
    <w:rsid w:val="008D0831"/>
    <w:rsid w:val="008D56AD"/>
    <w:rsid w:val="008E39DF"/>
    <w:rsid w:val="008E497B"/>
    <w:rsid w:val="008E5BB4"/>
    <w:rsid w:val="008E7413"/>
    <w:rsid w:val="008F0A53"/>
    <w:rsid w:val="008F392D"/>
    <w:rsid w:val="008F4C10"/>
    <w:rsid w:val="008F61F2"/>
    <w:rsid w:val="008F76BA"/>
    <w:rsid w:val="008F7E16"/>
    <w:rsid w:val="00900F1B"/>
    <w:rsid w:val="0090239E"/>
    <w:rsid w:val="009041E0"/>
    <w:rsid w:val="009273B3"/>
    <w:rsid w:val="0092791E"/>
    <w:rsid w:val="00933780"/>
    <w:rsid w:val="00936F44"/>
    <w:rsid w:val="00936F67"/>
    <w:rsid w:val="00941145"/>
    <w:rsid w:val="00944F0B"/>
    <w:rsid w:val="009452C8"/>
    <w:rsid w:val="00951040"/>
    <w:rsid w:val="00955F58"/>
    <w:rsid w:val="009678D4"/>
    <w:rsid w:val="00970299"/>
    <w:rsid w:val="00974441"/>
    <w:rsid w:val="00974CD7"/>
    <w:rsid w:val="009807D2"/>
    <w:rsid w:val="009827FF"/>
    <w:rsid w:val="0098446D"/>
    <w:rsid w:val="009866BB"/>
    <w:rsid w:val="009938AD"/>
    <w:rsid w:val="009968A9"/>
    <w:rsid w:val="009A0884"/>
    <w:rsid w:val="009A29FA"/>
    <w:rsid w:val="009A43E6"/>
    <w:rsid w:val="009A460B"/>
    <w:rsid w:val="009A619F"/>
    <w:rsid w:val="009B0738"/>
    <w:rsid w:val="009B301D"/>
    <w:rsid w:val="009B42E2"/>
    <w:rsid w:val="009B60A2"/>
    <w:rsid w:val="009C0E17"/>
    <w:rsid w:val="009C25B6"/>
    <w:rsid w:val="009C4284"/>
    <w:rsid w:val="009C7CDF"/>
    <w:rsid w:val="009D1DAE"/>
    <w:rsid w:val="009E0692"/>
    <w:rsid w:val="009E2769"/>
    <w:rsid w:val="009E3BBE"/>
    <w:rsid w:val="009E6FE7"/>
    <w:rsid w:val="009F0BA1"/>
    <w:rsid w:val="009F1725"/>
    <w:rsid w:val="009F71BF"/>
    <w:rsid w:val="009F7BF6"/>
    <w:rsid w:val="00A04C34"/>
    <w:rsid w:val="00A13C27"/>
    <w:rsid w:val="00A41EEA"/>
    <w:rsid w:val="00A43C04"/>
    <w:rsid w:val="00A45C4F"/>
    <w:rsid w:val="00A47387"/>
    <w:rsid w:val="00A50BD2"/>
    <w:rsid w:val="00A50C2D"/>
    <w:rsid w:val="00A51721"/>
    <w:rsid w:val="00A52453"/>
    <w:rsid w:val="00A53688"/>
    <w:rsid w:val="00A54B28"/>
    <w:rsid w:val="00A60496"/>
    <w:rsid w:val="00A61DF8"/>
    <w:rsid w:val="00A62606"/>
    <w:rsid w:val="00A6432F"/>
    <w:rsid w:val="00A65956"/>
    <w:rsid w:val="00A72DD1"/>
    <w:rsid w:val="00A734E5"/>
    <w:rsid w:val="00A83722"/>
    <w:rsid w:val="00A87021"/>
    <w:rsid w:val="00A87817"/>
    <w:rsid w:val="00A87FD9"/>
    <w:rsid w:val="00A92CD9"/>
    <w:rsid w:val="00A937E4"/>
    <w:rsid w:val="00A9540C"/>
    <w:rsid w:val="00AA0CA7"/>
    <w:rsid w:val="00AA0EBA"/>
    <w:rsid w:val="00AA501F"/>
    <w:rsid w:val="00AA72CA"/>
    <w:rsid w:val="00AA7FCC"/>
    <w:rsid w:val="00AB5151"/>
    <w:rsid w:val="00AB5572"/>
    <w:rsid w:val="00AB71CC"/>
    <w:rsid w:val="00AB756F"/>
    <w:rsid w:val="00AC0C3B"/>
    <w:rsid w:val="00AC14BB"/>
    <w:rsid w:val="00AC35FA"/>
    <w:rsid w:val="00AC68C0"/>
    <w:rsid w:val="00AD07BD"/>
    <w:rsid w:val="00AD0C04"/>
    <w:rsid w:val="00AD2448"/>
    <w:rsid w:val="00AD27F3"/>
    <w:rsid w:val="00AD542C"/>
    <w:rsid w:val="00AD6743"/>
    <w:rsid w:val="00AE2456"/>
    <w:rsid w:val="00AE3D52"/>
    <w:rsid w:val="00AE6AAA"/>
    <w:rsid w:val="00AF5429"/>
    <w:rsid w:val="00B029FF"/>
    <w:rsid w:val="00B0454A"/>
    <w:rsid w:val="00B072C6"/>
    <w:rsid w:val="00B13498"/>
    <w:rsid w:val="00B14809"/>
    <w:rsid w:val="00B16E34"/>
    <w:rsid w:val="00B24736"/>
    <w:rsid w:val="00B24753"/>
    <w:rsid w:val="00B31994"/>
    <w:rsid w:val="00B43B4E"/>
    <w:rsid w:val="00B50380"/>
    <w:rsid w:val="00B51D3E"/>
    <w:rsid w:val="00B60C0C"/>
    <w:rsid w:val="00B67F26"/>
    <w:rsid w:val="00B7190C"/>
    <w:rsid w:val="00B77657"/>
    <w:rsid w:val="00B811BA"/>
    <w:rsid w:val="00B87795"/>
    <w:rsid w:val="00B93448"/>
    <w:rsid w:val="00B934D6"/>
    <w:rsid w:val="00B95099"/>
    <w:rsid w:val="00B9791A"/>
    <w:rsid w:val="00BA26DD"/>
    <w:rsid w:val="00BA39D7"/>
    <w:rsid w:val="00BA5BEA"/>
    <w:rsid w:val="00BB28D8"/>
    <w:rsid w:val="00BB2FCF"/>
    <w:rsid w:val="00BB66F9"/>
    <w:rsid w:val="00BC153F"/>
    <w:rsid w:val="00BC2419"/>
    <w:rsid w:val="00BC6B94"/>
    <w:rsid w:val="00BD1F43"/>
    <w:rsid w:val="00BE3FC7"/>
    <w:rsid w:val="00BE564E"/>
    <w:rsid w:val="00BF17F4"/>
    <w:rsid w:val="00BF36C1"/>
    <w:rsid w:val="00BF6E60"/>
    <w:rsid w:val="00C024AC"/>
    <w:rsid w:val="00C047AD"/>
    <w:rsid w:val="00C065F6"/>
    <w:rsid w:val="00C06869"/>
    <w:rsid w:val="00C10BD5"/>
    <w:rsid w:val="00C13CBE"/>
    <w:rsid w:val="00C13DF9"/>
    <w:rsid w:val="00C1782C"/>
    <w:rsid w:val="00C23B44"/>
    <w:rsid w:val="00C36B1C"/>
    <w:rsid w:val="00C41FA3"/>
    <w:rsid w:val="00C458F7"/>
    <w:rsid w:val="00C46805"/>
    <w:rsid w:val="00C46A84"/>
    <w:rsid w:val="00C46EB4"/>
    <w:rsid w:val="00C4708A"/>
    <w:rsid w:val="00C475F7"/>
    <w:rsid w:val="00C51093"/>
    <w:rsid w:val="00C516FA"/>
    <w:rsid w:val="00C5338D"/>
    <w:rsid w:val="00C635A2"/>
    <w:rsid w:val="00C63E94"/>
    <w:rsid w:val="00C64E68"/>
    <w:rsid w:val="00C653E8"/>
    <w:rsid w:val="00C724F3"/>
    <w:rsid w:val="00C72FE8"/>
    <w:rsid w:val="00C74A39"/>
    <w:rsid w:val="00C81693"/>
    <w:rsid w:val="00C824C0"/>
    <w:rsid w:val="00C834A4"/>
    <w:rsid w:val="00C8471F"/>
    <w:rsid w:val="00C8745F"/>
    <w:rsid w:val="00C9010C"/>
    <w:rsid w:val="00C9245E"/>
    <w:rsid w:val="00C928F3"/>
    <w:rsid w:val="00C9411F"/>
    <w:rsid w:val="00CA0219"/>
    <w:rsid w:val="00CA0487"/>
    <w:rsid w:val="00CA140E"/>
    <w:rsid w:val="00CA4166"/>
    <w:rsid w:val="00CA47A1"/>
    <w:rsid w:val="00CB19B6"/>
    <w:rsid w:val="00CB2D19"/>
    <w:rsid w:val="00CB661A"/>
    <w:rsid w:val="00CC0F31"/>
    <w:rsid w:val="00CC56A9"/>
    <w:rsid w:val="00CD485A"/>
    <w:rsid w:val="00CD650C"/>
    <w:rsid w:val="00CE28E4"/>
    <w:rsid w:val="00CE77AA"/>
    <w:rsid w:val="00D00A4A"/>
    <w:rsid w:val="00D0212C"/>
    <w:rsid w:val="00D02E00"/>
    <w:rsid w:val="00D038A6"/>
    <w:rsid w:val="00D0536A"/>
    <w:rsid w:val="00D0591F"/>
    <w:rsid w:val="00D06BBE"/>
    <w:rsid w:val="00D1234F"/>
    <w:rsid w:val="00D13EB9"/>
    <w:rsid w:val="00D17205"/>
    <w:rsid w:val="00D2131E"/>
    <w:rsid w:val="00D216D9"/>
    <w:rsid w:val="00D21B31"/>
    <w:rsid w:val="00D22151"/>
    <w:rsid w:val="00D25ADD"/>
    <w:rsid w:val="00D26B77"/>
    <w:rsid w:val="00D30FEF"/>
    <w:rsid w:val="00D4314F"/>
    <w:rsid w:val="00D546CD"/>
    <w:rsid w:val="00D54982"/>
    <w:rsid w:val="00D55014"/>
    <w:rsid w:val="00D70FA1"/>
    <w:rsid w:val="00D71F18"/>
    <w:rsid w:val="00D72B09"/>
    <w:rsid w:val="00D755C5"/>
    <w:rsid w:val="00D75C23"/>
    <w:rsid w:val="00D84063"/>
    <w:rsid w:val="00D868B8"/>
    <w:rsid w:val="00D86B30"/>
    <w:rsid w:val="00D92D42"/>
    <w:rsid w:val="00D9627F"/>
    <w:rsid w:val="00DA14BE"/>
    <w:rsid w:val="00DA2158"/>
    <w:rsid w:val="00DA246A"/>
    <w:rsid w:val="00DA348C"/>
    <w:rsid w:val="00DA3A13"/>
    <w:rsid w:val="00DA3F22"/>
    <w:rsid w:val="00DB1BBE"/>
    <w:rsid w:val="00DB2F59"/>
    <w:rsid w:val="00DB4CD6"/>
    <w:rsid w:val="00DB6A64"/>
    <w:rsid w:val="00DC7486"/>
    <w:rsid w:val="00DC7FF9"/>
    <w:rsid w:val="00DD1D1E"/>
    <w:rsid w:val="00DD41E8"/>
    <w:rsid w:val="00DE045B"/>
    <w:rsid w:val="00DE28BC"/>
    <w:rsid w:val="00DE4DB7"/>
    <w:rsid w:val="00DE76F3"/>
    <w:rsid w:val="00DE775A"/>
    <w:rsid w:val="00DF008B"/>
    <w:rsid w:val="00DF0730"/>
    <w:rsid w:val="00DF4E66"/>
    <w:rsid w:val="00DF5752"/>
    <w:rsid w:val="00E028F3"/>
    <w:rsid w:val="00E0382B"/>
    <w:rsid w:val="00E04802"/>
    <w:rsid w:val="00E11BF9"/>
    <w:rsid w:val="00E123D4"/>
    <w:rsid w:val="00E13651"/>
    <w:rsid w:val="00E14D94"/>
    <w:rsid w:val="00E15FB6"/>
    <w:rsid w:val="00E161CC"/>
    <w:rsid w:val="00E170F7"/>
    <w:rsid w:val="00E2256F"/>
    <w:rsid w:val="00E235E3"/>
    <w:rsid w:val="00E27AA6"/>
    <w:rsid w:val="00E3607B"/>
    <w:rsid w:val="00E40BAD"/>
    <w:rsid w:val="00E41961"/>
    <w:rsid w:val="00E465D6"/>
    <w:rsid w:val="00E55A5C"/>
    <w:rsid w:val="00E5640A"/>
    <w:rsid w:val="00E5733F"/>
    <w:rsid w:val="00E60287"/>
    <w:rsid w:val="00E621B6"/>
    <w:rsid w:val="00E62F7D"/>
    <w:rsid w:val="00E65569"/>
    <w:rsid w:val="00E67C29"/>
    <w:rsid w:val="00E711E0"/>
    <w:rsid w:val="00E71C1D"/>
    <w:rsid w:val="00E736E2"/>
    <w:rsid w:val="00E818AA"/>
    <w:rsid w:val="00E83E2C"/>
    <w:rsid w:val="00E90AFD"/>
    <w:rsid w:val="00E948E3"/>
    <w:rsid w:val="00E97C13"/>
    <w:rsid w:val="00EA1585"/>
    <w:rsid w:val="00EA3EE3"/>
    <w:rsid w:val="00EA58FD"/>
    <w:rsid w:val="00EB1232"/>
    <w:rsid w:val="00EB1508"/>
    <w:rsid w:val="00EB3699"/>
    <w:rsid w:val="00EB5BED"/>
    <w:rsid w:val="00EC1C1D"/>
    <w:rsid w:val="00EC4302"/>
    <w:rsid w:val="00EC43B2"/>
    <w:rsid w:val="00EC635E"/>
    <w:rsid w:val="00ED138C"/>
    <w:rsid w:val="00ED563F"/>
    <w:rsid w:val="00EE1CDA"/>
    <w:rsid w:val="00EE3868"/>
    <w:rsid w:val="00EE43B4"/>
    <w:rsid w:val="00EE5116"/>
    <w:rsid w:val="00EE730C"/>
    <w:rsid w:val="00EF14F9"/>
    <w:rsid w:val="00EF6ED7"/>
    <w:rsid w:val="00F03F17"/>
    <w:rsid w:val="00F0669F"/>
    <w:rsid w:val="00F10489"/>
    <w:rsid w:val="00F134A1"/>
    <w:rsid w:val="00F216EF"/>
    <w:rsid w:val="00F369FA"/>
    <w:rsid w:val="00F4236C"/>
    <w:rsid w:val="00F477AA"/>
    <w:rsid w:val="00F60792"/>
    <w:rsid w:val="00F70C8E"/>
    <w:rsid w:val="00F77FD3"/>
    <w:rsid w:val="00F803C5"/>
    <w:rsid w:val="00F81526"/>
    <w:rsid w:val="00F82EA0"/>
    <w:rsid w:val="00F90521"/>
    <w:rsid w:val="00F91943"/>
    <w:rsid w:val="00F919A4"/>
    <w:rsid w:val="00F92BFA"/>
    <w:rsid w:val="00F94253"/>
    <w:rsid w:val="00F95023"/>
    <w:rsid w:val="00F96E4E"/>
    <w:rsid w:val="00FB26EF"/>
    <w:rsid w:val="00FB6053"/>
    <w:rsid w:val="00FB7DBD"/>
    <w:rsid w:val="00FC18FA"/>
    <w:rsid w:val="00FC1EC3"/>
    <w:rsid w:val="00FD3D03"/>
    <w:rsid w:val="00FD5949"/>
    <w:rsid w:val="00FD64F8"/>
    <w:rsid w:val="00FD72DF"/>
    <w:rsid w:val="00FE3C4A"/>
    <w:rsid w:val="00FF0C53"/>
    <w:rsid w:val="00FF1B71"/>
    <w:rsid w:val="00FF26C9"/>
    <w:rsid w:val="00FF4836"/>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52743D9"/>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1">
    <w:name w:val="Unresolved Mention1"/>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semiHidden/>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semiHidden/>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rPr>
      <w:sz w:val="24"/>
    </w:rPr>
  </w:style>
  <w:style w:type="paragraph" w:customStyle="1" w:styleId="NumList1">
    <w:name w:val="NumList1"/>
    <w:basedOn w:val="Normal"/>
    <w:link w:val="NumList1Char"/>
    <w:qFormat/>
    <w:rsid w:val="00C475F7"/>
    <w:pPr>
      <w:numPr>
        <w:numId w:val="9"/>
      </w:numPr>
      <w:contextualSpacing/>
    </w:pPr>
  </w:style>
  <w:style w:type="paragraph" w:styleId="Revision">
    <w:name w:val="Revision"/>
    <w:hidden/>
    <w:uiPriority w:val="99"/>
    <w:semiHidden/>
    <w:rsid w:val="00CC0F31"/>
    <w:pPr>
      <w:spacing w:after="0" w:line="240" w:lineRule="auto"/>
    </w:pPr>
    <w:rPr>
      <w:sz w:val="24"/>
    </w:rPr>
  </w:style>
  <w:style w:type="paragraph" w:customStyle="1" w:styleId="4Bulletedcopyblue">
    <w:name w:val="4 Bulleted copy blue"/>
    <w:basedOn w:val="Normal"/>
    <w:qFormat/>
    <w:rsid w:val="00D755C5"/>
    <w:pPr>
      <w:numPr>
        <w:numId w:val="20"/>
      </w:numPr>
      <w:spacing w:after="120" w:line="240" w:lineRule="auto"/>
      <w:jc w:val="left"/>
    </w:pPr>
    <w:rPr>
      <w:rFonts w:ascii="Arial" w:eastAsia="MS Mincho" w:hAnsi="Arial" w:cs="Arial"/>
      <w:sz w:val="20"/>
      <w:szCs w:val="20"/>
      <w:lang w:val="en-US"/>
    </w:rPr>
  </w:style>
  <w:style w:type="paragraph" w:customStyle="1" w:styleId="Bulletedcopylevel2">
    <w:name w:val="Bulleted copy level 2"/>
    <w:basedOn w:val="Normal"/>
    <w:qFormat/>
    <w:rsid w:val="00D06BBE"/>
    <w:pPr>
      <w:numPr>
        <w:numId w:val="21"/>
      </w:numPr>
      <w:spacing w:after="120" w:line="240" w:lineRule="auto"/>
      <w:jc w:val="left"/>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861">
      <w:bodyDiv w:val="1"/>
      <w:marLeft w:val="0"/>
      <w:marRight w:val="0"/>
      <w:marTop w:val="0"/>
      <w:marBottom w:val="0"/>
      <w:divBdr>
        <w:top w:val="none" w:sz="0" w:space="0" w:color="auto"/>
        <w:left w:val="none" w:sz="0" w:space="0" w:color="auto"/>
        <w:bottom w:val="none" w:sz="0" w:space="0" w:color="auto"/>
        <w:right w:val="none" w:sz="0" w:space="0" w:color="auto"/>
      </w:divBdr>
    </w:div>
    <w:div w:id="45570067">
      <w:bodyDiv w:val="1"/>
      <w:marLeft w:val="0"/>
      <w:marRight w:val="0"/>
      <w:marTop w:val="0"/>
      <w:marBottom w:val="0"/>
      <w:divBdr>
        <w:top w:val="none" w:sz="0" w:space="0" w:color="auto"/>
        <w:left w:val="none" w:sz="0" w:space="0" w:color="auto"/>
        <w:bottom w:val="none" w:sz="0" w:space="0" w:color="auto"/>
        <w:right w:val="none" w:sz="0" w:space="0" w:color="auto"/>
      </w:divBdr>
    </w:div>
    <w:div w:id="20718133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24852147">
      <w:bodyDiv w:val="1"/>
      <w:marLeft w:val="0"/>
      <w:marRight w:val="0"/>
      <w:marTop w:val="0"/>
      <w:marBottom w:val="0"/>
      <w:divBdr>
        <w:top w:val="none" w:sz="0" w:space="0" w:color="auto"/>
        <w:left w:val="none" w:sz="0" w:space="0" w:color="auto"/>
        <w:bottom w:val="none" w:sz="0" w:space="0" w:color="auto"/>
        <w:right w:val="none" w:sz="0" w:space="0" w:color="auto"/>
      </w:divBdr>
    </w:div>
    <w:div w:id="657153844">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849100003">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57266703">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1996/56/part/VI/chapter/III"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21EE-4B44-400D-878A-2B0BA160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Online Safety Policy Template for Schools</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 for Schools</dc:title>
  <dc:subject/>
  <dc:creator>Mark Bentley, LGfL DigiSafe Online Safety &amp; Safeguarding Manager</dc:creator>
  <cp:keywords>Online Safety, Safeguarding</cp:keywords>
  <dc:description/>
  <cp:lastModifiedBy>Avril Stockley</cp:lastModifiedBy>
  <cp:revision>2</cp:revision>
  <cp:lastPrinted>2015-10-21T15:16:00Z</cp:lastPrinted>
  <dcterms:created xsi:type="dcterms:W3CDTF">2023-04-22T12:22:00Z</dcterms:created>
  <dcterms:modified xsi:type="dcterms:W3CDTF">2023-04-22T12:22:00Z</dcterms:modified>
</cp:coreProperties>
</file>