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45071A" w14:textId="223F5113" w:rsidR="00193920" w:rsidRDefault="00193920">
      <w:pPr>
        <w:rPr>
          <w:rFonts w:asciiTheme="majorHAnsi" w:hAnsiTheme="majorHAnsi" w:cstheme="majorHAnsi"/>
        </w:rPr>
      </w:pPr>
      <w:r w:rsidRPr="00193920">
        <w:rPr>
          <w:rFonts w:ascii="Calibri" w:eastAsia="Calibri" w:hAnsi="Calibri" w:cs="Calibri"/>
          <w:noProof/>
          <w:color w:val="auto"/>
          <w:sz w:val="24"/>
          <w:szCs w:val="24"/>
        </w:rPr>
        <w:drawing>
          <wp:anchor distT="0" distB="0" distL="114300" distR="114300" simplePos="0" relativeHeight="251659264" behindDoc="1" locked="0" layoutInCell="1" allowOverlap="1" wp14:anchorId="5D4A1E84" wp14:editId="54E0D8E7">
            <wp:simplePos x="0" y="0"/>
            <wp:positionH relativeFrom="margin">
              <wp:posOffset>2072640</wp:posOffset>
            </wp:positionH>
            <wp:positionV relativeFrom="paragraph">
              <wp:posOffset>-17780</wp:posOffset>
            </wp:positionV>
            <wp:extent cx="1975485" cy="1706880"/>
            <wp:effectExtent l="0" t="0" r="5715" b="762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5485" cy="1706880"/>
                    </a:xfrm>
                    <a:prstGeom prst="rect">
                      <a:avLst/>
                    </a:prstGeom>
                    <a:noFill/>
                  </pic:spPr>
                </pic:pic>
              </a:graphicData>
            </a:graphic>
          </wp:anchor>
        </w:drawing>
      </w:r>
    </w:p>
    <w:p w14:paraId="5AA02239" w14:textId="62B3AEA1" w:rsidR="00193920" w:rsidRPr="00193920" w:rsidRDefault="00193920" w:rsidP="00193920">
      <w:pPr>
        <w:widowControl w:val="0"/>
        <w:autoSpaceDE w:val="0"/>
        <w:autoSpaceDN w:val="0"/>
        <w:spacing w:after="0" w:line="240" w:lineRule="auto"/>
        <w:ind w:left="4718"/>
        <w:rPr>
          <w:rFonts w:ascii="Calibri" w:eastAsia="Calibri" w:hAnsi="Calibri" w:cs="Calibri"/>
          <w:color w:val="auto"/>
          <w:sz w:val="24"/>
          <w:szCs w:val="24"/>
        </w:rPr>
      </w:pPr>
    </w:p>
    <w:p w14:paraId="01A7EC7A" w14:textId="77777777" w:rsidR="00193920" w:rsidRDefault="00193920" w:rsidP="00193920">
      <w:pPr>
        <w:widowControl w:val="0"/>
        <w:autoSpaceDE w:val="0"/>
        <w:autoSpaceDN w:val="0"/>
        <w:spacing w:after="0" w:line="240" w:lineRule="auto"/>
        <w:ind w:right="360"/>
        <w:jc w:val="center"/>
        <w:rPr>
          <w:rFonts w:ascii="Calibri" w:eastAsia="Calibri" w:hAnsi="Calibri" w:cs="Calibri"/>
          <w:b/>
          <w:color w:val="auto"/>
          <w:sz w:val="56"/>
          <w:szCs w:val="56"/>
        </w:rPr>
      </w:pPr>
      <w:proofErr w:type="spellStart"/>
      <w:r w:rsidRPr="00193920">
        <w:rPr>
          <w:rFonts w:ascii="Calibri" w:eastAsia="Calibri" w:hAnsi="Calibri" w:cs="Calibri"/>
          <w:b/>
          <w:bCs/>
          <w:color w:val="auto"/>
          <w:sz w:val="56"/>
          <w:szCs w:val="56"/>
          <w:u w:color="000000"/>
        </w:rPr>
        <w:t>Winmarleigh</w:t>
      </w:r>
      <w:proofErr w:type="spellEnd"/>
      <w:r w:rsidRPr="00193920">
        <w:rPr>
          <w:rFonts w:ascii="Calibri" w:eastAsia="Calibri" w:hAnsi="Calibri" w:cs="Calibri"/>
          <w:b/>
          <w:bCs/>
          <w:color w:val="auto"/>
          <w:spacing w:val="-10"/>
          <w:sz w:val="56"/>
          <w:szCs w:val="56"/>
          <w:u w:color="000000"/>
        </w:rPr>
        <w:t xml:space="preserve"> </w:t>
      </w:r>
      <w:r w:rsidRPr="00193920">
        <w:rPr>
          <w:rFonts w:ascii="Calibri" w:eastAsia="Calibri" w:hAnsi="Calibri" w:cs="Calibri"/>
          <w:b/>
          <w:bCs/>
          <w:color w:val="auto"/>
          <w:sz w:val="56"/>
          <w:szCs w:val="56"/>
          <w:u w:color="000000"/>
        </w:rPr>
        <w:t>Church</w:t>
      </w:r>
      <w:r w:rsidRPr="00193920">
        <w:rPr>
          <w:rFonts w:ascii="Calibri" w:eastAsia="Calibri" w:hAnsi="Calibri" w:cs="Calibri"/>
          <w:b/>
          <w:bCs/>
          <w:color w:val="auto"/>
          <w:spacing w:val="-4"/>
          <w:sz w:val="56"/>
          <w:szCs w:val="56"/>
          <w:u w:color="000000"/>
        </w:rPr>
        <w:t xml:space="preserve"> </w:t>
      </w:r>
      <w:r w:rsidRPr="00193920">
        <w:rPr>
          <w:rFonts w:ascii="Calibri" w:eastAsia="Calibri" w:hAnsi="Calibri" w:cs="Calibri"/>
          <w:b/>
          <w:bCs/>
          <w:color w:val="auto"/>
          <w:sz w:val="56"/>
          <w:szCs w:val="56"/>
          <w:u w:color="000000"/>
        </w:rPr>
        <w:t>of</w:t>
      </w:r>
      <w:r w:rsidRPr="00193920">
        <w:rPr>
          <w:rFonts w:ascii="Calibri" w:eastAsia="Calibri" w:hAnsi="Calibri" w:cs="Calibri"/>
          <w:b/>
          <w:bCs/>
          <w:color w:val="auto"/>
          <w:spacing w:val="-6"/>
          <w:sz w:val="56"/>
          <w:szCs w:val="56"/>
          <w:u w:color="000000"/>
        </w:rPr>
        <w:t xml:space="preserve"> </w:t>
      </w:r>
      <w:r w:rsidRPr="00193920">
        <w:rPr>
          <w:rFonts w:ascii="Calibri" w:eastAsia="Calibri" w:hAnsi="Calibri" w:cs="Calibri"/>
          <w:b/>
          <w:bCs/>
          <w:color w:val="auto"/>
          <w:sz w:val="56"/>
          <w:szCs w:val="56"/>
          <w:u w:color="000000"/>
        </w:rPr>
        <w:t>England</w:t>
      </w:r>
      <w:r w:rsidRPr="00193920">
        <w:rPr>
          <w:rFonts w:ascii="Calibri" w:eastAsia="Calibri" w:hAnsi="Calibri" w:cs="Calibri"/>
          <w:b/>
          <w:bCs/>
          <w:color w:val="auto"/>
          <w:spacing w:val="-6"/>
          <w:sz w:val="56"/>
          <w:szCs w:val="56"/>
          <w:u w:color="000000"/>
        </w:rPr>
        <w:t xml:space="preserve"> </w:t>
      </w:r>
      <w:r w:rsidRPr="00193920">
        <w:rPr>
          <w:rFonts w:ascii="Calibri" w:eastAsia="Calibri" w:hAnsi="Calibri" w:cs="Calibri"/>
          <w:b/>
          <w:bCs/>
          <w:color w:val="auto"/>
          <w:sz w:val="56"/>
          <w:szCs w:val="56"/>
          <w:u w:color="000000"/>
        </w:rPr>
        <w:t>Primary</w:t>
      </w:r>
      <w:r w:rsidRPr="00193920">
        <w:rPr>
          <w:rFonts w:ascii="Calibri" w:eastAsia="Calibri" w:hAnsi="Calibri" w:cs="Calibri"/>
          <w:b/>
          <w:bCs/>
          <w:color w:val="auto"/>
          <w:spacing w:val="-5"/>
          <w:sz w:val="56"/>
          <w:szCs w:val="56"/>
          <w:u w:color="000000"/>
        </w:rPr>
        <w:t xml:space="preserve"> </w:t>
      </w:r>
      <w:r w:rsidRPr="00193920">
        <w:rPr>
          <w:rFonts w:ascii="Calibri" w:eastAsia="Calibri" w:hAnsi="Calibri" w:cs="Calibri"/>
          <w:b/>
          <w:bCs/>
          <w:color w:val="auto"/>
          <w:spacing w:val="-2"/>
          <w:sz w:val="56"/>
          <w:szCs w:val="56"/>
          <w:u w:color="000000"/>
        </w:rPr>
        <w:t>School</w:t>
      </w:r>
    </w:p>
    <w:p w14:paraId="6A8BEA38" w14:textId="77777777" w:rsidR="00193920" w:rsidRDefault="00193920" w:rsidP="00193920">
      <w:pPr>
        <w:widowControl w:val="0"/>
        <w:autoSpaceDE w:val="0"/>
        <w:autoSpaceDN w:val="0"/>
        <w:spacing w:after="0" w:line="240" w:lineRule="auto"/>
        <w:ind w:right="360"/>
        <w:jc w:val="center"/>
        <w:rPr>
          <w:rFonts w:ascii="Calibri" w:eastAsia="Calibri" w:hAnsi="Calibri" w:cs="Calibri"/>
          <w:b/>
          <w:color w:val="auto"/>
          <w:sz w:val="56"/>
          <w:szCs w:val="56"/>
        </w:rPr>
      </w:pPr>
    </w:p>
    <w:p w14:paraId="3A514232" w14:textId="77777777" w:rsidR="00193920" w:rsidRDefault="00193920" w:rsidP="00193920">
      <w:pPr>
        <w:widowControl w:val="0"/>
        <w:autoSpaceDE w:val="0"/>
        <w:autoSpaceDN w:val="0"/>
        <w:spacing w:after="0" w:line="240" w:lineRule="auto"/>
        <w:ind w:right="360"/>
        <w:jc w:val="center"/>
        <w:rPr>
          <w:rFonts w:ascii="Calibri" w:eastAsia="Calibri" w:hAnsi="Calibri" w:cs="Calibri"/>
          <w:b/>
          <w:color w:val="auto"/>
          <w:sz w:val="56"/>
          <w:szCs w:val="56"/>
        </w:rPr>
      </w:pPr>
      <w:r w:rsidRPr="00193920">
        <w:rPr>
          <w:rFonts w:ascii="Calibri" w:eastAsia="Times New Roman" w:hAnsi="Calibri" w:cs="Calibri"/>
          <w:b/>
          <w:bCs/>
          <w:color w:val="auto"/>
          <w:sz w:val="56"/>
          <w:szCs w:val="56"/>
          <w:u w:color="000000"/>
        </w:rPr>
        <w:t>SEND Policy</w:t>
      </w:r>
    </w:p>
    <w:p w14:paraId="7DB40EC3" w14:textId="77777777" w:rsidR="00193920" w:rsidRDefault="00193920" w:rsidP="00193920">
      <w:pPr>
        <w:widowControl w:val="0"/>
        <w:autoSpaceDE w:val="0"/>
        <w:autoSpaceDN w:val="0"/>
        <w:spacing w:after="0" w:line="240" w:lineRule="auto"/>
        <w:ind w:right="360"/>
        <w:jc w:val="center"/>
        <w:rPr>
          <w:rFonts w:ascii="Calibri" w:eastAsia="Calibri" w:hAnsi="Calibri" w:cs="Calibri"/>
          <w:b/>
          <w:color w:val="auto"/>
          <w:sz w:val="56"/>
          <w:szCs w:val="56"/>
        </w:rPr>
      </w:pPr>
    </w:p>
    <w:p w14:paraId="39BBEAFC" w14:textId="5A655D2B" w:rsidR="00193920" w:rsidRDefault="00193920" w:rsidP="00193920">
      <w:pPr>
        <w:widowControl w:val="0"/>
        <w:autoSpaceDE w:val="0"/>
        <w:autoSpaceDN w:val="0"/>
        <w:spacing w:after="0" w:line="240" w:lineRule="auto"/>
        <w:ind w:right="360"/>
        <w:jc w:val="center"/>
        <w:rPr>
          <w:rFonts w:ascii="Calibri" w:eastAsia="Times New Roman" w:hAnsi="Calibri" w:cs="Calibri"/>
          <w:b/>
          <w:bCs/>
          <w:color w:val="auto"/>
          <w:sz w:val="56"/>
          <w:szCs w:val="56"/>
        </w:rPr>
      </w:pPr>
      <w:r>
        <w:rPr>
          <w:rFonts w:ascii="Calibri" w:eastAsia="Times New Roman" w:hAnsi="Calibri" w:cs="Calibri"/>
          <w:b/>
          <w:bCs/>
          <w:color w:val="auto"/>
          <w:sz w:val="56"/>
          <w:szCs w:val="56"/>
        </w:rPr>
        <w:t>S</w:t>
      </w:r>
      <w:r w:rsidRPr="00193920">
        <w:rPr>
          <w:rFonts w:ascii="Calibri" w:eastAsia="Times New Roman" w:hAnsi="Calibri" w:cs="Calibri"/>
          <w:b/>
          <w:bCs/>
          <w:color w:val="auto"/>
          <w:sz w:val="56"/>
          <w:szCs w:val="56"/>
        </w:rPr>
        <w:t>eptember 2026</w:t>
      </w:r>
    </w:p>
    <w:p w14:paraId="50764BFB" w14:textId="77777777" w:rsidR="00193920" w:rsidRPr="00193920" w:rsidRDefault="00193920" w:rsidP="00193920">
      <w:pPr>
        <w:widowControl w:val="0"/>
        <w:autoSpaceDE w:val="0"/>
        <w:autoSpaceDN w:val="0"/>
        <w:spacing w:after="0" w:line="240" w:lineRule="auto"/>
        <w:ind w:right="360"/>
        <w:jc w:val="center"/>
        <w:rPr>
          <w:rFonts w:ascii="Calibri" w:eastAsia="Calibri" w:hAnsi="Calibri" w:cs="Calibri"/>
          <w:b/>
          <w:color w:val="auto"/>
          <w:sz w:val="56"/>
          <w:szCs w:val="56"/>
        </w:rPr>
      </w:pPr>
    </w:p>
    <w:p w14:paraId="79328D66" w14:textId="77777777" w:rsidR="00193920" w:rsidRPr="00193920" w:rsidRDefault="00193920" w:rsidP="00193920">
      <w:pPr>
        <w:widowControl w:val="0"/>
        <w:autoSpaceDE w:val="0"/>
        <w:autoSpaceDN w:val="0"/>
        <w:spacing w:after="0" w:line="240" w:lineRule="auto"/>
        <w:ind w:left="4" w:right="360"/>
        <w:jc w:val="center"/>
        <w:rPr>
          <w:rFonts w:ascii="Calibri" w:eastAsia="Calibri" w:hAnsi="Calibri" w:cs="Calibri"/>
          <w:color w:val="auto"/>
          <w:sz w:val="24"/>
          <w:szCs w:val="24"/>
        </w:rPr>
      </w:pPr>
    </w:p>
    <w:p w14:paraId="236789AD" w14:textId="77777777" w:rsidR="00193920" w:rsidRPr="00193920" w:rsidRDefault="00193920" w:rsidP="00193920">
      <w:pPr>
        <w:widowControl w:val="0"/>
        <w:autoSpaceDE w:val="0"/>
        <w:autoSpaceDN w:val="0"/>
        <w:spacing w:after="0" w:line="240" w:lineRule="auto"/>
        <w:ind w:left="4" w:right="360"/>
        <w:jc w:val="center"/>
        <w:rPr>
          <w:rFonts w:ascii="Calibri" w:eastAsia="Calibri" w:hAnsi="Calibri" w:cs="Calibri"/>
          <w:color w:val="auto"/>
          <w:sz w:val="24"/>
          <w:szCs w:val="24"/>
        </w:rPr>
      </w:pPr>
    </w:p>
    <w:p w14:paraId="561982FE" w14:textId="77777777" w:rsidR="00193920" w:rsidRPr="00193920" w:rsidRDefault="00193920" w:rsidP="00193920">
      <w:pPr>
        <w:widowControl w:val="0"/>
        <w:autoSpaceDE w:val="0"/>
        <w:autoSpaceDN w:val="0"/>
        <w:spacing w:after="0" w:line="240" w:lineRule="auto"/>
        <w:ind w:left="4" w:right="360"/>
        <w:jc w:val="center"/>
        <w:rPr>
          <w:rFonts w:ascii="Calibri" w:eastAsia="Calibri" w:hAnsi="Calibri" w:cs="Calibri"/>
          <w:color w:val="auto"/>
          <w:sz w:val="24"/>
          <w:szCs w:val="24"/>
        </w:rPr>
      </w:pPr>
    </w:p>
    <w:p w14:paraId="1003C03E" w14:textId="532AB61D" w:rsidR="00193920" w:rsidRDefault="00193920" w:rsidP="00193920">
      <w:pPr>
        <w:spacing w:after="200"/>
        <w:ind w:right="528"/>
        <w:jc w:val="center"/>
        <w:rPr>
          <w:rFonts w:asciiTheme="majorHAnsi" w:hAnsiTheme="majorHAnsi" w:cstheme="majorHAnsi"/>
        </w:rPr>
      </w:pPr>
      <w:r w:rsidRPr="00193920">
        <w:rPr>
          <w:rFonts w:ascii="Calibri" w:eastAsia="Times New Roman" w:hAnsi="Calibri" w:cs="Calibri"/>
          <w:i/>
          <w:iCs/>
          <w:color w:val="auto"/>
          <w:sz w:val="24"/>
          <w:szCs w:val="24"/>
        </w:rPr>
        <w:t xml:space="preserve">Jesus said, “You shall love the Lord your God with all your heart, and with all your souls, with all your mind and with all your strength.” This is the greatest and first commandment.  And a second is like it “You shall love your </w:t>
      </w:r>
      <w:proofErr w:type="spellStart"/>
      <w:r w:rsidRPr="00193920">
        <w:rPr>
          <w:rFonts w:ascii="Calibri" w:eastAsia="Times New Roman" w:hAnsi="Calibri" w:cs="Calibri"/>
          <w:i/>
          <w:iCs/>
          <w:color w:val="auto"/>
          <w:sz w:val="24"/>
          <w:szCs w:val="24"/>
        </w:rPr>
        <w:t>neighbour</w:t>
      </w:r>
      <w:proofErr w:type="spellEnd"/>
      <w:r w:rsidRPr="00193920">
        <w:rPr>
          <w:rFonts w:ascii="Calibri" w:eastAsia="Times New Roman" w:hAnsi="Calibri" w:cs="Calibri"/>
          <w:i/>
          <w:iCs/>
          <w:color w:val="auto"/>
          <w:sz w:val="24"/>
          <w:szCs w:val="24"/>
        </w:rPr>
        <w:t xml:space="preserve"> as yourself.” </w:t>
      </w:r>
      <w:r w:rsidRPr="00193920">
        <w:rPr>
          <w:rFonts w:ascii="Calibri" w:eastAsia="Times New Roman" w:hAnsi="Calibri" w:cs="Calibri"/>
          <w:b/>
          <w:bCs/>
          <w:noProof/>
          <w:color w:val="auto"/>
          <w:spacing w:val="-10"/>
          <w:kern w:val="28"/>
          <w:sz w:val="24"/>
          <w:szCs w:val="24"/>
          <w:lang w:eastAsia="en-GB"/>
        </w:rPr>
        <w:drawing>
          <wp:anchor distT="0" distB="0" distL="114300" distR="114300" simplePos="0" relativeHeight="251656192" behindDoc="1" locked="0" layoutInCell="1" allowOverlap="1" wp14:anchorId="28E135CC" wp14:editId="62D99AAA">
            <wp:simplePos x="0" y="0"/>
            <wp:positionH relativeFrom="margin">
              <wp:align>center</wp:align>
            </wp:positionH>
            <wp:positionV relativeFrom="page">
              <wp:posOffset>8191141</wp:posOffset>
            </wp:positionV>
            <wp:extent cx="4203700" cy="1111885"/>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28A0092B-C50C-407E-A947-70E740481C1C}">
                          <a14:useLocalDpi xmlns:a14="http://schemas.microsoft.com/office/drawing/2010/main" val="0"/>
                        </a:ext>
                      </a:extLst>
                    </a:blip>
                    <a:srcRect t="3311"/>
                    <a:stretch/>
                  </pic:blipFill>
                  <pic:spPr bwMode="auto">
                    <a:xfrm>
                      <a:off x="0" y="0"/>
                      <a:ext cx="4203700" cy="1111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ajorHAnsi" w:hAnsiTheme="majorHAnsi" w:cstheme="majorHAnsi"/>
        </w:rPr>
        <w:br w:type="page"/>
      </w:r>
    </w:p>
    <w:p w14:paraId="62C6F187" w14:textId="6A2E5F1D" w:rsidR="00396EE4" w:rsidRPr="00193920" w:rsidRDefault="00193920">
      <w:pPr>
        <w:rPr>
          <w:rFonts w:asciiTheme="majorHAnsi" w:hAnsiTheme="majorHAnsi" w:cstheme="majorHAnsi"/>
        </w:rPr>
      </w:pPr>
      <w:r w:rsidRPr="00193920">
        <w:rPr>
          <w:rFonts w:asciiTheme="majorHAnsi" w:hAnsiTheme="majorHAnsi" w:cstheme="majorHAnsi"/>
        </w:rPr>
        <w:lastRenderedPageBreak/>
        <w:t xml:space="preserve">Our Christian vision </w:t>
      </w:r>
      <w:r w:rsidRPr="00193920">
        <w:rPr>
          <w:rFonts w:asciiTheme="majorHAnsi" w:hAnsiTheme="majorHAnsi" w:cstheme="majorHAnsi"/>
        </w:rPr>
        <w:t>calls us to love our neighbour as ourselves (Mark 12:31). We seek to provide a nurturing, inclusive education in which every child is valued, supported and encouraged to flourish academically, socially, emotionally and spiritually.</w:t>
      </w:r>
    </w:p>
    <w:p w14:paraId="052CAB2D" w14:textId="77777777" w:rsidR="00396EE4" w:rsidRPr="00193920" w:rsidRDefault="00193920">
      <w:pPr>
        <w:pStyle w:val="Heading1"/>
        <w:rPr>
          <w:rFonts w:cstheme="majorHAnsi"/>
        </w:rPr>
      </w:pPr>
      <w:r w:rsidRPr="00193920">
        <w:rPr>
          <w:rFonts w:cstheme="majorHAnsi"/>
        </w:rPr>
        <w:t>Policy information and approval</w:t>
      </w:r>
    </w:p>
    <w:tbl>
      <w:tblPr>
        <w:tblStyle w:val="LightShading-Accent1"/>
        <w:tblW w:w="0" w:type="auto"/>
        <w:tblBorders>
          <w:top w:val="single" w:sz="4" w:space="0" w:color="632423" w:themeColor="accent2" w:themeShade="80"/>
          <w:left w:val="single" w:sz="4" w:space="0" w:color="632423" w:themeColor="accent2" w:themeShade="80"/>
          <w:bottom w:val="single" w:sz="4" w:space="0" w:color="632423" w:themeColor="accent2" w:themeShade="80"/>
          <w:right w:val="single" w:sz="4" w:space="0" w:color="632423" w:themeColor="accent2" w:themeShade="80"/>
          <w:insideH w:val="single" w:sz="4" w:space="0" w:color="632423" w:themeColor="accent2" w:themeShade="80"/>
          <w:insideV w:val="single" w:sz="4" w:space="0" w:color="632423" w:themeColor="accent2" w:themeShade="80"/>
        </w:tblBorders>
        <w:shd w:val="clear" w:color="auto" w:fill="F2DBDB" w:themeFill="accent2" w:themeFillTint="33"/>
        <w:tblLook w:val="04A0" w:firstRow="1" w:lastRow="0" w:firstColumn="1" w:lastColumn="0" w:noHBand="0" w:noVBand="1"/>
      </w:tblPr>
      <w:tblGrid>
        <w:gridCol w:w="4891"/>
        <w:gridCol w:w="4891"/>
      </w:tblGrid>
      <w:tr w:rsidR="00396EE4" w:rsidRPr="00193920" w14:paraId="6CC1CE28" w14:textId="77777777" w:rsidTr="001939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Borders>
              <w:top w:val="none" w:sz="0" w:space="0" w:color="auto"/>
              <w:left w:val="none" w:sz="0" w:space="0" w:color="auto"/>
              <w:bottom w:val="none" w:sz="0" w:space="0" w:color="auto"/>
              <w:right w:val="none" w:sz="0" w:space="0" w:color="auto"/>
            </w:tcBorders>
            <w:shd w:val="clear" w:color="auto" w:fill="F2DBDB" w:themeFill="accent2" w:themeFillTint="33"/>
          </w:tcPr>
          <w:p w14:paraId="1DAF9CBD" w14:textId="77777777" w:rsidR="00396EE4" w:rsidRPr="00193920" w:rsidRDefault="00193920">
            <w:pPr>
              <w:rPr>
                <w:rFonts w:asciiTheme="majorHAnsi" w:hAnsiTheme="majorHAnsi" w:cstheme="majorHAnsi"/>
              </w:rPr>
            </w:pPr>
            <w:r w:rsidRPr="00193920">
              <w:rPr>
                <w:rFonts w:asciiTheme="majorHAnsi" w:hAnsiTheme="majorHAnsi" w:cstheme="majorHAnsi"/>
              </w:rPr>
              <w:t>Policy owner</w:t>
            </w:r>
          </w:p>
        </w:tc>
        <w:tc>
          <w:tcPr>
            <w:tcW w:w="4896" w:type="dxa"/>
            <w:tcBorders>
              <w:top w:val="none" w:sz="0" w:space="0" w:color="auto"/>
              <w:left w:val="none" w:sz="0" w:space="0" w:color="auto"/>
              <w:bottom w:val="none" w:sz="0" w:space="0" w:color="auto"/>
              <w:right w:val="none" w:sz="0" w:space="0" w:color="auto"/>
            </w:tcBorders>
            <w:shd w:val="clear" w:color="auto" w:fill="F2DBDB" w:themeFill="accent2" w:themeFillTint="33"/>
          </w:tcPr>
          <w:p w14:paraId="751CCBC2" w14:textId="77777777" w:rsidR="00396EE4" w:rsidRPr="00193920" w:rsidRDefault="00193920">
            <w:pP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rPr>
            </w:pPr>
            <w:r w:rsidRPr="00193920">
              <w:rPr>
                <w:rFonts w:asciiTheme="majorHAnsi" w:hAnsiTheme="majorHAnsi" w:cstheme="majorHAnsi"/>
              </w:rPr>
              <w:t>Headteacher and SENDCo</w:t>
            </w:r>
          </w:p>
        </w:tc>
      </w:tr>
      <w:tr w:rsidR="00396EE4" w:rsidRPr="00193920" w14:paraId="41306A57" w14:textId="77777777" w:rsidTr="001939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Borders>
              <w:left w:val="none" w:sz="0" w:space="0" w:color="auto"/>
              <w:right w:val="none" w:sz="0" w:space="0" w:color="auto"/>
            </w:tcBorders>
            <w:shd w:val="clear" w:color="auto" w:fill="F2DBDB" w:themeFill="accent2" w:themeFillTint="33"/>
          </w:tcPr>
          <w:p w14:paraId="620EB7F6" w14:textId="77777777" w:rsidR="00396EE4" w:rsidRPr="00193920" w:rsidRDefault="00193920">
            <w:pPr>
              <w:rPr>
                <w:rFonts w:asciiTheme="majorHAnsi" w:hAnsiTheme="majorHAnsi" w:cstheme="majorHAnsi"/>
              </w:rPr>
            </w:pPr>
            <w:r w:rsidRPr="00193920">
              <w:rPr>
                <w:rFonts w:asciiTheme="majorHAnsi" w:hAnsiTheme="majorHAnsi" w:cstheme="majorHAnsi"/>
              </w:rPr>
              <w:t>Approved by</w:t>
            </w:r>
          </w:p>
        </w:tc>
        <w:tc>
          <w:tcPr>
            <w:tcW w:w="4896" w:type="dxa"/>
            <w:tcBorders>
              <w:left w:val="none" w:sz="0" w:space="0" w:color="auto"/>
              <w:right w:val="none" w:sz="0" w:space="0" w:color="auto"/>
            </w:tcBorders>
            <w:shd w:val="clear" w:color="auto" w:fill="F2DBDB" w:themeFill="accent2" w:themeFillTint="33"/>
          </w:tcPr>
          <w:p w14:paraId="69B433B4" w14:textId="0B9E55A1" w:rsidR="00396EE4" w:rsidRPr="00193920" w:rsidRDefault="0019392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93920">
              <w:rPr>
                <w:rFonts w:asciiTheme="majorHAnsi" w:hAnsiTheme="majorHAnsi" w:cstheme="majorHAnsi"/>
              </w:rPr>
              <w:t>Governing body</w:t>
            </w:r>
          </w:p>
        </w:tc>
      </w:tr>
      <w:tr w:rsidR="00396EE4" w:rsidRPr="00193920" w14:paraId="4A557259" w14:textId="77777777" w:rsidTr="00193920">
        <w:tc>
          <w:tcPr>
            <w:cnfStyle w:val="001000000000" w:firstRow="0" w:lastRow="0" w:firstColumn="1" w:lastColumn="0" w:oddVBand="0" w:evenVBand="0" w:oddHBand="0" w:evenHBand="0" w:firstRowFirstColumn="0" w:firstRowLastColumn="0" w:lastRowFirstColumn="0" w:lastRowLastColumn="0"/>
            <w:tcW w:w="4896" w:type="dxa"/>
            <w:shd w:val="clear" w:color="auto" w:fill="F2DBDB" w:themeFill="accent2" w:themeFillTint="33"/>
          </w:tcPr>
          <w:p w14:paraId="796C5F4C" w14:textId="77777777" w:rsidR="00396EE4" w:rsidRPr="00193920" w:rsidRDefault="00193920">
            <w:pPr>
              <w:rPr>
                <w:rFonts w:asciiTheme="majorHAnsi" w:hAnsiTheme="majorHAnsi" w:cstheme="majorHAnsi"/>
              </w:rPr>
            </w:pPr>
            <w:r w:rsidRPr="00193920">
              <w:rPr>
                <w:rFonts w:asciiTheme="majorHAnsi" w:hAnsiTheme="majorHAnsi" w:cstheme="majorHAnsi"/>
              </w:rPr>
              <w:t>Approval date</w:t>
            </w:r>
          </w:p>
        </w:tc>
        <w:tc>
          <w:tcPr>
            <w:tcW w:w="4896" w:type="dxa"/>
            <w:shd w:val="clear" w:color="auto" w:fill="F2DBDB" w:themeFill="accent2" w:themeFillTint="33"/>
          </w:tcPr>
          <w:p w14:paraId="4D90E2B1" w14:textId="33B115FD" w:rsidR="00396EE4" w:rsidRPr="00193920" w:rsidRDefault="0019392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r w:rsidRPr="00193920">
              <w:rPr>
                <w:rFonts w:asciiTheme="majorHAnsi" w:hAnsiTheme="majorHAnsi" w:cstheme="majorHAnsi"/>
              </w:rPr>
              <w:t>12</w:t>
            </w:r>
            <w:r w:rsidRPr="00193920">
              <w:rPr>
                <w:rFonts w:asciiTheme="majorHAnsi" w:hAnsiTheme="majorHAnsi" w:cstheme="majorHAnsi"/>
                <w:vertAlign w:val="superscript"/>
              </w:rPr>
              <w:t>th</w:t>
            </w:r>
            <w:r w:rsidRPr="00193920">
              <w:rPr>
                <w:rFonts w:asciiTheme="majorHAnsi" w:hAnsiTheme="majorHAnsi" w:cstheme="majorHAnsi"/>
              </w:rPr>
              <w:t xml:space="preserve"> October 2026</w:t>
            </w:r>
          </w:p>
        </w:tc>
      </w:tr>
      <w:tr w:rsidR="00396EE4" w:rsidRPr="00193920" w14:paraId="15F02938" w14:textId="77777777" w:rsidTr="001939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Borders>
              <w:left w:val="none" w:sz="0" w:space="0" w:color="auto"/>
              <w:right w:val="none" w:sz="0" w:space="0" w:color="auto"/>
            </w:tcBorders>
            <w:shd w:val="clear" w:color="auto" w:fill="F2DBDB" w:themeFill="accent2" w:themeFillTint="33"/>
          </w:tcPr>
          <w:p w14:paraId="4B109633" w14:textId="77777777" w:rsidR="00396EE4" w:rsidRPr="00193920" w:rsidRDefault="00193920">
            <w:pPr>
              <w:rPr>
                <w:rFonts w:asciiTheme="majorHAnsi" w:hAnsiTheme="majorHAnsi" w:cstheme="majorHAnsi"/>
              </w:rPr>
            </w:pPr>
            <w:r w:rsidRPr="00193920">
              <w:rPr>
                <w:rFonts w:asciiTheme="majorHAnsi" w:hAnsiTheme="majorHAnsi" w:cstheme="majorHAnsi"/>
              </w:rPr>
              <w:t>SENDCo</w:t>
            </w:r>
          </w:p>
        </w:tc>
        <w:tc>
          <w:tcPr>
            <w:tcW w:w="4896" w:type="dxa"/>
            <w:tcBorders>
              <w:left w:val="none" w:sz="0" w:space="0" w:color="auto"/>
              <w:right w:val="none" w:sz="0" w:space="0" w:color="auto"/>
            </w:tcBorders>
            <w:shd w:val="clear" w:color="auto" w:fill="F2DBDB" w:themeFill="accent2" w:themeFillTint="33"/>
          </w:tcPr>
          <w:p w14:paraId="565F0282" w14:textId="22588E63" w:rsidR="00396EE4" w:rsidRPr="00193920" w:rsidRDefault="0019392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proofErr w:type="spellStart"/>
            <w:r w:rsidRPr="00193920">
              <w:rPr>
                <w:rFonts w:asciiTheme="majorHAnsi" w:hAnsiTheme="majorHAnsi" w:cstheme="majorHAnsi"/>
              </w:rPr>
              <w:t>Mrs</w:t>
            </w:r>
            <w:proofErr w:type="spellEnd"/>
            <w:r w:rsidRPr="00193920">
              <w:rPr>
                <w:rFonts w:asciiTheme="majorHAnsi" w:hAnsiTheme="majorHAnsi" w:cstheme="majorHAnsi"/>
              </w:rPr>
              <w:t xml:space="preserve"> C. Darling </w:t>
            </w:r>
          </w:p>
        </w:tc>
      </w:tr>
      <w:tr w:rsidR="00396EE4" w:rsidRPr="00193920" w14:paraId="05AF25B4" w14:textId="77777777" w:rsidTr="00193920">
        <w:tc>
          <w:tcPr>
            <w:cnfStyle w:val="001000000000" w:firstRow="0" w:lastRow="0" w:firstColumn="1" w:lastColumn="0" w:oddVBand="0" w:evenVBand="0" w:oddHBand="0" w:evenHBand="0" w:firstRowFirstColumn="0" w:firstRowLastColumn="0" w:lastRowFirstColumn="0" w:lastRowLastColumn="0"/>
            <w:tcW w:w="4896" w:type="dxa"/>
            <w:shd w:val="clear" w:color="auto" w:fill="F2DBDB" w:themeFill="accent2" w:themeFillTint="33"/>
          </w:tcPr>
          <w:p w14:paraId="396A03B7" w14:textId="77777777" w:rsidR="00396EE4" w:rsidRPr="00193920" w:rsidRDefault="00193920">
            <w:pPr>
              <w:rPr>
                <w:rFonts w:asciiTheme="majorHAnsi" w:hAnsiTheme="majorHAnsi" w:cstheme="majorHAnsi"/>
              </w:rPr>
            </w:pPr>
            <w:r w:rsidRPr="00193920">
              <w:rPr>
                <w:rFonts w:asciiTheme="majorHAnsi" w:hAnsiTheme="majorHAnsi" w:cstheme="majorHAnsi"/>
              </w:rPr>
              <w:t>SEND governor</w:t>
            </w:r>
          </w:p>
        </w:tc>
        <w:tc>
          <w:tcPr>
            <w:tcW w:w="4896" w:type="dxa"/>
            <w:shd w:val="clear" w:color="auto" w:fill="F2DBDB" w:themeFill="accent2" w:themeFillTint="33"/>
          </w:tcPr>
          <w:p w14:paraId="331D4A10" w14:textId="7766E5B1" w:rsidR="00396EE4" w:rsidRPr="00193920" w:rsidRDefault="00193920">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rPr>
            </w:pPr>
            <w:proofErr w:type="spellStart"/>
            <w:r w:rsidRPr="00193920">
              <w:rPr>
                <w:rFonts w:asciiTheme="majorHAnsi" w:hAnsiTheme="majorHAnsi" w:cstheme="majorHAnsi"/>
              </w:rPr>
              <w:t>Mrs</w:t>
            </w:r>
            <w:proofErr w:type="spellEnd"/>
            <w:r w:rsidRPr="00193920">
              <w:rPr>
                <w:rFonts w:asciiTheme="majorHAnsi" w:hAnsiTheme="majorHAnsi" w:cstheme="majorHAnsi"/>
              </w:rPr>
              <w:t xml:space="preserve"> K. Ashton</w:t>
            </w:r>
          </w:p>
        </w:tc>
      </w:tr>
      <w:tr w:rsidR="00396EE4" w:rsidRPr="00193920" w14:paraId="07A146D1" w14:textId="77777777" w:rsidTr="001939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6" w:type="dxa"/>
            <w:tcBorders>
              <w:left w:val="none" w:sz="0" w:space="0" w:color="auto"/>
              <w:right w:val="none" w:sz="0" w:space="0" w:color="auto"/>
            </w:tcBorders>
            <w:shd w:val="clear" w:color="auto" w:fill="F2DBDB" w:themeFill="accent2" w:themeFillTint="33"/>
          </w:tcPr>
          <w:p w14:paraId="2B460E5C" w14:textId="77777777" w:rsidR="00396EE4" w:rsidRPr="00193920" w:rsidRDefault="00193920">
            <w:pPr>
              <w:rPr>
                <w:rFonts w:asciiTheme="majorHAnsi" w:hAnsiTheme="majorHAnsi" w:cstheme="majorHAnsi"/>
              </w:rPr>
            </w:pPr>
            <w:r w:rsidRPr="00193920">
              <w:rPr>
                <w:rFonts w:asciiTheme="majorHAnsi" w:hAnsiTheme="majorHAnsi" w:cstheme="majorHAnsi"/>
              </w:rPr>
              <w:t>Next review</w:t>
            </w:r>
          </w:p>
        </w:tc>
        <w:tc>
          <w:tcPr>
            <w:tcW w:w="4896" w:type="dxa"/>
            <w:tcBorders>
              <w:left w:val="none" w:sz="0" w:space="0" w:color="auto"/>
              <w:right w:val="none" w:sz="0" w:space="0" w:color="auto"/>
            </w:tcBorders>
            <w:shd w:val="clear" w:color="auto" w:fill="F2DBDB" w:themeFill="accent2" w:themeFillTint="33"/>
          </w:tcPr>
          <w:p w14:paraId="39A19A17" w14:textId="77777777" w:rsidR="00396EE4" w:rsidRPr="00193920" w:rsidRDefault="00193920">
            <w:pP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rPr>
            </w:pPr>
            <w:r w:rsidRPr="00193920">
              <w:rPr>
                <w:rFonts w:asciiTheme="majorHAnsi" w:hAnsiTheme="majorHAnsi" w:cstheme="majorHAnsi"/>
              </w:rPr>
              <w:t xml:space="preserve">September 2027, or earlier </w:t>
            </w:r>
            <w:r w:rsidRPr="00193920">
              <w:rPr>
                <w:rFonts w:asciiTheme="majorHAnsi" w:hAnsiTheme="majorHAnsi" w:cstheme="majorHAnsi"/>
              </w:rPr>
              <w:t>following relevant change</w:t>
            </w:r>
          </w:p>
        </w:tc>
      </w:tr>
    </w:tbl>
    <w:p w14:paraId="512666F6" w14:textId="77777777" w:rsidR="00396EE4" w:rsidRPr="00193920" w:rsidRDefault="00193920">
      <w:pPr>
        <w:pStyle w:val="Heading1"/>
        <w:rPr>
          <w:rFonts w:cstheme="majorHAnsi"/>
        </w:rPr>
      </w:pPr>
      <w:r w:rsidRPr="00193920">
        <w:rPr>
          <w:rFonts w:cstheme="majorHAnsi"/>
        </w:rPr>
        <w:t>1. Aims and outcomes</w:t>
      </w:r>
    </w:p>
    <w:p w14:paraId="4948DD8F" w14:textId="77777777" w:rsidR="00396EE4" w:rsidRPr="00193920" w:rsidRDefault="00193920">
      <w:pPr>
        <w:rPr>
          <w:rFonts w:asciiTheme="majorHAnsi" w:hAnsiTheme="majorHAnsi" w:cstheme="majorHAnsi"/>
        </w:rPr>
      </w:pPr>
      <w:r w:rsidRPr="00193920">
        <w:rPr>
          <w:rFonts w:asciiTheme="majorHAnsi" w:hAnsiTheme="majorHAnsi" w:cstheme="majorHAnsi"/>
        </w:rPr>
        <w:t>Winmarleigh Church of England Primary School provides a broad, balanced and ambitious curriculum for all pupils. We recognise that children learn at different rates and in different ways. We identify and remove barriers to learning, make reasonable adjustments where required, and provide special educational provision for pupils who need it.</w:t>
      </w:r>
    </w:p>
    <w:p w14:paraId="0B6889E6"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Enjoy: experience a safe, welcoming, nurturing environment and participate fully in school life.</w:t>
      </w:r>
    </w:p>
    <w:p w14:paraId="447EF2F4"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Believe: have their strengths, aspirations and views recognised and develop confidence and independence.</w:t>
      </w:r>
    </w:p>
    <w:p w14:paraId="553B4F89"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Achieve: make meaningful progress towards ambitious academic, personal, social and emotional outcomes.</w:t>
      </w:r>
    </w:p>
    <w:p w14:paraId="5F670CE4"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Work in partnership with pupils, parents and carers, staff, governors and relevant professionals.</w:t>
      </w:r>
    </w:p>
    <w:p w14:paraId="0F6663AB"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Identify needs early, respond promptly and review the impact of support.</w:t>
      </w:r>
    </w:p>
    <w:p w14:paraId="660A4C9E" w14:textId="77777777" w:rsidR="00396EE4" w:rsidRPr="00193920" w:rsidRDefault="00193920">
      <w:pPr>
        <w:pStyle w:val="Heading1"/>
        <w:rPr>
          <w:rFonts w:cstheme="majorHAnsi"/>
        </w:rPr>
      </w:pPr>
      <w:r w:rsidRPr="00193920">
        <w:rPr>
          <w:rFonts w:cstheme="majorHAnsi"/>
        </w:rPr>
        <w:t>2. Legal framework and definitions</w:t>
      </w:r>
    </w:p>
    <w:p w14:paraId="342A3DC3" w14:textId="77777777" w:rsidR="00396EE4" w:rsidRPr="00193920" w:rsidRDefault="00193920">
      <w:pPr>
        <w:rPr>
          <w:rFonts w:asciiTheme="majorHAnsi" w:hAnsiTheme="majorHAnsi" w:cstheme="majorHAnsi"/>
        </w:rPr>
      </w:pPr>
      <w:r w:rsidRPr="00193920">
        <w:rPr>
          <w:rFonts w:asciiTheme="majorHAnsi" w:hAnsiTheme="majorHAnsi" w:cstheme="majorHAnsi"/>
        </w:rPr>
        <w:t>This policy is informed by the Children and Families Act 2014, the Equality Act 2010, the Special Educational Needs and Disability Regulations 2014 (as amended), the SEND Code of Practice: 0 to 25 years (2015), and relevant statutory guidance on supporting pupils with medical conditions and safeguarding. It should be read alongside the school’s SEND Information Report, Accessibility Plan, Admissions Policy, Supporting Pupils with Medical Conditions Policy, Safeguarding Policy, Behaviour/Anti-bullying Policy</w:t>
      </w:r>
      <w:r w:rsidRPr="00193920">
        <w:rPr>
          <w:rFonts w:asciiTheme="majorHAnsi" w:hAnsiTheme="majorHAnsi" w:cstheme="majorHAnsi"/>
        </w:rPr>
        <w:t xml:space="preserve"> and Complaints Procedure.</w:t>
      </w:r>
    </w:p>
    <w:p w14:paraId="53903F0D" w14:textId="77777777" w:rsidR="00396EE4" w:rsidRPr="00193920" w:rsidRDefault="00193920">
      <w:pPr>
        <w:rPr>
          <w:rFonts w:asciiTheme="majorHAnsi" w:hAnsiTheme="majorHAnsi" w:cstheme="majorHAnsi"/>
        </w:rPr>
      </w:pPr>
      <w:r w:rsidRPr="00193920">
        <w:rPr>
          <w:rFonts w:asciiTheme="majorHAnsi" w:hAnsiTheme="majorHAnsi" w:cstheme="majorHAnsi"/>
        </w:rPr>
        <w:t>A pupil has special educational needs (SEN) where they have a learning difficulty or disability which calls for special educational provision to be made for them. For a child of compulsory school age, this includes a significantly greater difficulty in learning than the majority of others of the same age, or a disability that prevents or hinders use of facilities generally provided for others of the same age in mainstream schools. Special educational provision is educational or training provision additional</w:t>
      </w:r>
      <w:r w:rsidRPr="00193920">
        <w:rPr>
          <w:rFonts w:asciiTheme="majorHAnsi" w:hAnsiTheme="majorHAnsi" w:cstheme="majorHAnsi"/>
        </w:rPr>
        <w:t xml:space="preserve"> to or different from that made generally for others of the same age.</w:t>
      </w:r>
    </w:p>
    <w:p w14:paraId="5FCFAE10" w14:textId="77777777" w:rsidR="00396EE4" w:rsidRPr="00193920" w:rsidRDefault="00193920">
      <w:pPr>
        <w:rPr>
          <w:rFonts w:asciiTheme="majorHAnsi" w:hAnsiTheme="majorHAnsi" w:cstheme="majorHAnsi"/>
        </w:rPr>
      </w:pPr>
      <w:r w:rsidRPr="00193920">
        <w:rPr>
          <w:rFonts w:asciiTheme="majorHAnsi" w:hAnsiTheme="majorHAnsi" w:cstheme="majorHAnsi"/>
        </w:rPr>
        <w:t>Disability and SEN overlap but are not identical. A pupil is not regarded as having SEN solely because their home language differs from the language of teaching. Attendance, health, disadvantage, being looked after, or English as an additional language may affect learning but do not automatically establish SEN. The school considers each pupil’s circumstances carefully and avoids assuming that behaviour alone indicates SEN.</w:t>
      </w:r>
    </w:p>
    <w:p w14:paraId="3D557B92" w14:textId="77777777" w:rsidR="00396EE4" w:rsidRPr="00193920" w:rsidRDefault="00193920">
      <w:pPr>
        <w:pStyle w:val="Heading1"/>
        <w:rPr>
          <w:rFonts w:cstheme="majorHAnsi"/>
        </w:rPr>
      </w:pPr>
      <w:r w:rsidRPr="00193920">
        <w:rPr>
          <w:rFonts w:cstheme="majorHAnsi"/>
        </w:rPr>
        <w:t>3. Identifying special educational needs</w:t>
      </w:r>
    </w:p>
    <w:p w14:paraId="13726F20" w14:textId="77777777" w:rsidR="00396EE4" w:rsidRPr="00193920" w:rsidRDefault="00193920">
      <w:pPr>
        <w:rPr>
          <w:rFonts w:asciiTheme="majorHAnsi" w:hAnsiTheme="majorHAnsi" w:cstheme="majorHAnsi"/>
        </w:rPr>
      </w:pPr>
      <w:r w:rsidRPr="00193920">
        <w:rPr>
          <w:rFonts w:asciiTheme="majorHAnsi" w:hAnsiTheme="majorHAnsi" w:cstheme="majorHAnsi"/>
        </w:rPr>
        <w:t>The four broad areas of need described in the SEND Code of Practice are:</w:t>
      </w:r>
    </w:p>
    <w:p w14:paraId="281DE55C"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Communication and interaction</w:t>
      </w:r>
    </w:p>
    <w:p w14:paraId="1DF4BFE2"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Cognition and learning</w:t>
      </w:r>
    </w:p>
    <w:p w14:paraId="51720330"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lastRenderedPageBreak/>
        <w:t>Social, emotional and mental health difficulties</w:t>
      </w:r>
    </w:p>
    <w:p w14:paraId="1DF12A39"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Sensory and/or physical needs</w:t>
      </w:r>
    </w:p>
    <w:p w14:paraId="47ED81C2" w14:textId="77777777" w:rsidR="00396EE4" w:rsidRPr="00193920" w:rsidRDefault="00193920">
      <w:pPr>
        <w:rPr>
          <w:rFonts w:asciiTheme="majorHAnsi" w:hAnsiTheme="majorHAnsi" w:cstheme="majorHAnsi"/>
        </w:rPr>
      </w:pPr>
      <w:r w:rsidRPr="00193920">
        <w:rPr>
          <w:rFonts w:asciiTheme="majorHAnsi" w:hAnsiTheme="majorHAnsi" w:cstheme="majorHAnsi"/>
        </w:rPr>
        <w:t>Class teachers monitor attainment, progress, participation and wellbeing through daily assessment, observations, pupil progress discussions, pupil voice and conversations with families. They consider strengths, barriers, quality of teaching and wider contextual factors. Where concerns persist, the teacher discusses them with the SENDCo and parents/carers, and may use appropriate screening, assessment or specialist advice. A diagnosis is not required before appropriate support is provided.</w:t>
      </w:r>
    </w:p>
    <w:p w14:paraId="7D97BA07" w14:textId="77777777" w:rsidR="00396EE4" w:rsidRPr="00193920" w:rsidRDefault="00193920">
      <w:pPr>
        <w:rPr>
          <w:rFonts w:asciiTheme="majorHAnsi" w:hAnsiTheme="majorHAnsi" w:cstheme="majorHAnsi"/>
        </w:rPr>
      </w:pPr>
      <w:r w:rsidRPr="00193920">
        <w:rPr>
          <w:rFonts w:asciiTheme="majorHAnsi" w:hAnsiTheme="majorHAnsi" w:cstheme="majorHAnsi"/>
        </w:rPr>
        <w:t>The SENDCo coordinates consideration of whether the pupil requires special educational provision additional to or different from ordinarily available teaching. Parents are informed and involved when SEN support is identified, and the pupil’s views are sought in an age-appropriate way. The SEND register and records are kept under review; inclusion on or removal from the register is based on need and provision, not a single test score.</w:t>
      </w:r>
    </w:p>
    <w:p w14:paraId="40C8947B" w14:textId="77777777" w:rsidR="00396EE4" w:rsidRPr="00193920" w:rsidRDefault="00193920">
      <w:pPr>
        <w:pStyle w:val="Heading1"/>
        <w:rPr>
          <w:rFonts w:cstheme="majorHAnsi"/>
        </w:rPr>
      </w:pPr>
      <w:r w:rsidRPr="00193920">
        <w:rPr>
          <w:rFonts w:cstheme="majorHAnsi"/>
        </w:rPr>
        <w:t>4. SEN support: our graduated response</w:t>
      </w:r>
    </w:p>
    <w:p w14:paraId="69F508EC" w14:textId="77777777" w:rsidR="00396EE4" w:rsidRPr="00193920" w:rsidRDefault="00193920">
      <w:pPr>
        <w:rPr>
          <w:rFonts w:asciiTheme="majorHAnsi" w:hAnsiTheme="majorHAnsi" w:cstheme="majorHAnsi"/>
        </w:rPr>
      </w:pPr>
      <w:r w:rsidRPr="00193920">
        <w:rPr>
          <w:rFonts w:asciiTheme="majorHAnsi" w:hAnsiTheme="majorHAnsi" w:cstheme="majorHAnsi"/>
        </w:rPr>
        <w:t>Winmarleigh uses the continuous Assess → Plan → Do → Review cycle. Universal, targeted and specialist support describe the increasing intensity or specialism of provision; they are not rigid stages that every pupil must complete before further help or an EHC needs assessment can be considered.</w:t>
      </w:r>
    </w:p>
    <w:p w14:paraId="7864488E" w14:textId="77777777" w:rsidR="00396EE4" w:rsidRPr="00193920" w:rsidRDefault="00193920">
      <w:pPr>
        <w:pStyle w:val="Heading2"/>
        <w:rPr>
          <w:rFonts w:cstheme="majorHAnsi"/>
        </w:rPr>
      </w:pPr>
      <w:r w:rsidRPr="00193920">
        <w:rPr>
          <w:rFonts w:cstheme="majorHAnsi"/>
        </w:rPr>
        <w:t>Universal support – high-quality inclusive teaching</w:t>
      </w:r>
    </w:p>
    <w:p w14:paraId="3A407555" w14:textId="77777777" w:rsidR="00396EE4" w:rsidRPr="00193920" w:rsidRDefault="00193920">
      <w:pPr>
        <w:rPr>
          <w:rFonts w:asciiTheme="majorHAnsi" w:hAnsiTheme="majorHAnsi" w:cstheme="majorHAnsi"/>
        </w:rPr>
      </w:pPr>
      <w:r w:rsidRPr="00193920">
        <w:rPr>
          <w:rFonts w:asciiTheme="majorHAnsi" w:hAnsiTheme="majorHAnsi" w:cstheme="majorHAnsi"/>
        </w:rPr>
        <w:t xml:space="preserve">Every pupil benefits from ambitious teaching, adaptive teaching </w:t>
      </w:r>
      <w:r w:rsidRPr="00193920">
        <w:rPr>
          <w:rFonts w:asciiTheme="majorHAnsi" w:hAnsiTheme="majorHAnsi" w:cstheme="majorHAnsi"/>
        </w:rPr>
        <w:t>approaches, appropriate classroom resources, clear routines, accessible communication, reasonable adjustments and inclusive participation. The class teacher retains responsibility for every pupil’s learning, including when teaching assistants or specialists deliver support.</w:t>
      </w:r>
    </w:p>
    <w:p w14:paraId="55E2208F" w14:textId="77777777" w:rsidR="00396EE4" w:rsidRPr="00193920" w:rsidRDefault="00193920">
      <w:pPr>
        <w:pStyle w:val="Heading2"/>
        <w:rPr>
          <w:rFonts w:cstheme="majorHAnsi"/>
        </w:rPr>
      </w:pPr>
      <w:r w:rsidRPr="00193920">
        <w:rPr>
          <w:rFonts w:cstheme="majorHAnsi"/>
        </w:rPr>
        <w:t>Targeted support – additional intervention</w:t>
      </w:r>
    </w:p>
    <w:p w14:paraId="5F07F041" w14:textId="77777777" w:rsidR="00396EE4" w:rsidRPr="00193920" w:rsidRDefault="00193920">
      <w:pPr>
        <w:rPr>
          <w:rFonts w:asciiTheme="majorHAnsi" w:hAnsiTheme="majorHAnsi" w:cstheme="majorHAnsi"/>
        </w:rPr>
      </w:pPr>
      <w:r w:rsidRPr="00193920">
        <w:rPr>
          <w:rFonts w:asciiTheme="majorHAnsi" w:hAnsiTheme="majorHAnsi" w:cstheme="majorHAnsi"/>
        </w:rPr>
        <w:t>Where required, teachers arrange carefully selected additional teaching, personalised targets, small-group work or short-term interventions. The intended outcome, starting point, frequency, staff responsibilities and method of evaluating impact are recorded proportionately. The SENDCo supports planning and monitoring.</w:t>
      </w:r>
    </w:p>
    <w:p w14:paraId="4E98D371" w14:textId="77777777" w:rsidR="00396EE4" w:rsidRPr="00193920" w:rsidRDefault="00193920">
      <w:pPr>
        <w:pStyle w:val="Heading2"/>
        <w:rPr>
          <w:rFonts w:cstheme="majorHAnsi"/>
        </w:rPr>
      </w:pPr>
      <w:r w:rsidRPr="00193920">
        <w:rPr>
          <w:rFonts w:cstheme="majorHAnsi"/>
        </w:rPr>
        <w:t>Specialist support – enhanced provision</w:t>
      </w:r>
    </w:p>
    <w:p w14:paraId="57F46A1F" w14:textId="77777777" w:rsidR="00396EE4" w:rsidRPr="00193920" w:rsidRDefault="00193920">
      <w:pPr>
        <w:rPr>
          <w:rFonts w:asciiTheme="majorHAnsi" w:hAnsiTheme="majorHAnsi" w:cstheme="majorHAnsi"/>
        </w:rPr>
      </w:pPr>
      <w:r w:rsidRPr="00193920">
        <w:rPr>
          <w:rFonts w:asciiTheme="majorHAnsi" w:hAnsiTheme="majorHAnsi" w:cstheme="majorHAnsi"/>
        </w:rPr>
        <w:t>Where needs are more complex or progress remains limited, the school may seek advice from specialist teachers, educational psychologists, speech and language therapists, occupational therapists, health or social care professionals, as appropriate. Advice is incorporated into classroom practice and reviewed with families. Appropriate consent and information-sharing requirements are followed.</w:t>
      </w:r>
    </w:p>
    <w:p w14:paraId="5697F975" w14:textId="77777777" w:rsidR="00396EE4" w:rsidRPr="00193920" w:rsidRDefault="00193920">
      <w:pPr>
        <w:pStyle w:val="Heading2"/>
        <w:rPr>
          <w:rFonts w:cstheme="majorHAnsi"/>
        </w:rPr>
      </w:pPr>
      <w:r w:rsidRPr="00193920">
        <w:rPr>
          <w:rFonts w:cstheme="majorHAnsi"/>
        </w:rPr>
        <w:t>Assess</w:t>
      </w:r>
    </w:p>
    <w:p w14:paraId="1F49E150" w14:textId="77777777" w:rsidR="00396EE4" w:rsidRPr="00193920" w:rsidRDefault="00193920">
      <w:pPr>
        <w:rPr>
          <w:rFonts w:asciiTheme="majorHAnsi" w:hAnsiTheme="majorHAnsi" w:cstheme="majorHAnsi"/>
        </w:rPr>
      </w:pPr>
      <w:r w:rsidRPr="00193920">
        <w:rPr>
          <w:rFonts w:asciiTheme="majorHAnsi" w:hAnsiTheme="majorHAnsi" w:cstheme="majorHAnsi"/>
        </w:rPr>
        <w:t xml:space="preserve">The teacher and SENDCo bring together assessment information, strengths, pupil and family views, previous provision and any relevant professional advice to identify barriers and establish a </w:t>
      </w:r>
      <w:r w:rsidRPr="00193920">
        <w:rPr>
          <w:rFonts w:asciiTheme="majorHAnsi" w:hAnsiTheme="majorHAnsi" w:cstheme="majorHAnsi"/>
        </w:rPr>
        <w:t>baseline.</w:t>
      </w:r>
    </w:p>
    <w:p w14:paraId="70556B70" w14:textId="77777777" w:rsidR="00396EE4" w:rsidRPr="00193920" w:rsidRDefault="00193920">
      <w:pPr>
        <w:pStyle w:val="Heading2"/>
        <w:rPr>
          <w:rFonts w:cstheme="majorHAnsi"/>
        </w:rPr>
      </w:pPr>
      <w:r w:rsidRPr="00193920">
        <w:rPr>
          <w:rFonts w:cstheme="majorHAnsi"/>
        </w:rPr>
        <w:t>Plan</w:t>
      </w:r>
    </w:p>
    <w:p w14:paraId="18079C6E" w14:textId="77777777" w:rsidR="00396EE4" w:rsidRPr="00193920" w:rsidRDefault="00193920">
      <w:pPr>
        <w:rPr>
          <w:rFonts w:asciiTheme="majorHAnsi" w:hAnsiTheme="majorHAnsi" w:cstheme="majorHAnsi"/>
        </w:rPr>
      </w:pPr>
      <w:r w:rsidRPr="00193920">
        <w:rPr>
          <w:rFonts w:asciiTheme="majorHAnsi" w:hAnsiTheme="majorHAnsi" w:cstheme="majorHAnsi"/>
        </w:rPr>
        <w:t>The teacher, pupil and parents/carers agree clear outcomes, support and adjustments, who will deliver them, how progress will be assessed and a review date. Individual or School Support Plans and provision records are used where appropriate. Parents receive information about the agreed plan.</w:t>
      </w:r>
    </w:p>
    <w:p w14:paraId="7708DB6F" w14:textId="77777777" w:rsidR="00396EE4" w:rsidRPr="00193920" w:rsidRDefault="00193920">
      <w:pPr>
        <w:pStyle w:val="Heading2"/>
        <w:rPr>
          <w:rFonts w:cstheme="majorHAnsi"/>
        </w:rPr>
      </w:pPr>
      <w:r w:rsidRPr="00193920">
        <w:rPr>
          <w:rFonts w:cstheme="majorHAnsi"/>
        </w:rPr>
        <w:lastRenderedPageBreak/>
        <w:t>Do</w:t>
      </w:r>
    </w:p>
    <w:p w14:paraId="29D7295C" w14:textId="77777777" w:rsidR="00396EE4" w:rsidRPr="00193920" w:rsidRDefault="00193920">
      <w:pPr>
        <w:rPr>
          <w:rFonts w:asciiTheme="majorHAnsi" w:hAnsiTheme="majorHAnsi" w:cstheme="majorHAnsi"/>
        </w:rPr>
      </w:pPr>
      <w:r w:rsidRPr="00193920">
        <w:rPr>
          <w:rFonts w:asciiTheme="majorHAnsi" w:hAnsiTheme="majorHAnsi" w:cstheme="majorHAnsi"/>
        </w:rPr>
        <w:t>The class teacher is responsible for implementing and overseeing the plan. Support staff deliver agreed activities under teacher direction; the SENDCo advises and coordinates specialist input where needed. Provision is embedded in everyday teaching wherever possible.</w:t>
      </w:r>
    </w:p>
    <w:p w14:paraId="3E5A87F6" w14:textId="77777777" w:rsidR="00396EE4" w:rsidRPr="00193920" w:rsidRDefault="00193920">
      <w:pPr>
        <w:pStyle w:val="Heading2"/>
        <w:rPr>
          <w:rFonts w:cstheme="majorHAnsi"/>
        </w:rPr>
      </w:pPr>
      <w:r w:rsidRPr="00193920">
        <w:rPr>
          <w:rFonts w:cstheme="majorHAnsi"/>
        </w:rPr>
        <w:t>Review</w:t>
      </w:r>
    </w:p>
    <w:p w14:paraId="321EC488" w14:textId="77777777" w:rsidR="00396EE4" w:rsidRPr="00193920" w:rsidRDefault="00193920">
      <w:pPr>
        <w:rPr>
          <w:rFonts w:asciiTheme="majorHAnsi" w:hAnsiTheme="majorHAnsi" w:cstheme="majorHAnsi"/>
        </w:rPr>
      </w:pPr>
      <w:r w:rsidRPr="00193920">
        <w:rPr>
          <w:rFonts w:asciiTheme="majorHAnsi" w:hAnsiTheme="majorHAnsi" w:cstheme="majorHAnsi"/>
        </w:rPr>
        <w:t>The teacher evaluates the impact of provision using attainment, progress, participation, wellbeing, observations and pupil and family feedback. Reviews with parents/carers and pupils normally take place at least termly for pupils receiving SEN support. The school decides whether to continue, adapt, intensify, reduce or end additional support, and begins the cycle again.</w:t>
      </w:r>
    </w:p>
    <w:p w14:paraId="616658EA" w14:textId="77777777" w:rsidR="00396EE4" w:rsidRPr="00193920" w:rsidRDefault="00193920">
      <w:pPr>
        <w:pStyle w:val="Heading1"/>
        <w:rPr>
          <w:rFonts w:cstheme="majorHAnsi"/>
        </w:rPr>
      </w:pPr>
      <w:r w:rsidRPr="00193920">
        <w:rPr>
          <w:rFonts w:cstheme="majorHAnsi"/>
        </w:rPr>
        <w:t>5. Education, Health and Care (EHC) needs assessments and plans</w:t>
      </w:r>
    </w:p>
    <w:p w14:paraId="2E6DFC19" w14:textId="77777777" w:rsidR="00396EE4" w:rsidRPr="00193920" w:rsidRDefault="00193920">
      <w:pPr>
        <w:rPr>
          <w:rFonts w:asciiTheme="majorHAnsi" w:hAnsiTheme="majorHAnsi" w:cstheme="majorHAnsi"/>
        </w:rPr>
      </w:pPr>
      <w:r w:rsidRPr="00193920">
        <w:rPr>
          <w:rFonts w:asciiTheme="majorHAnsi" w:hAnsiTheme="majorHAnsi" w:cstheme="majorHAnsi"/>
        </w:rPr>
        <w:t>An EHC needs assessment may be requested from Lancashire County Council by a parent, a young person or a person acting on behalf of the school. The legal test is whether the child has or may have SEN and it may be necessary for special educational provision to be made through an EHC plan. A family does not need to wait until every possible intervention has been exhausted before requesting an assessment.</w:t>
      </w:r>
    </w:p>
    <w:p w14:paraId="4C6D24EC" w14:textId="77777777" w:rsidR="00396EE4" w:rsidRPr="00193920" w:rsidRDefault="00193920">
      <w:pPr>
        <w:rPr>
          <w:rFonts w:asciiTheme="majorHAnsi" w:hAnsiTheme="majorHAnsi" w:cstheme="majorHAnsi"/>
        </w:rPr>
      </w:pPr>
      <w:r w:rsidRPr="00193920">
        <w:rPr>
          <w:rFonts w:asciiTheme="majorHAnsi" w:hAnsiTheme="majorHAnsi" w:cstheme="majorHAnsi"/>
        </w:rPr>
        <w:t>The local authority normally decides whether to assess within six weeks of receiving the request. Where an assessment takes place, it normally decides whether to issue a plan within 16 weeks of the original request; where a plan is issued, the final plan is normally provided within 20 weeks, subject to statutory exceptions. The local authority, not the school, makes these decisions and informs families about applicable rights to challenge decisions.</w:t>
      </w:r>
    </w:p>
    <w:p w14:paraId="122E4369" w14:textId="77777777" w:rsidR="00396EE4" w:rsidRPr="00193920" w:rsidRDefault="00193920">
      <w:pPr>
        <w:rPr>
          <w:rFonts w:asciiTheme="majorHAnsi" w:hAnsiTheme="majorHAnsi" w:cstheme="majorHAnsi"/>
        </w:rPr>
      </w:pPr>
      <w:r w:rsidRPr="00193920">
        <w:rPr>
          <w:rFonts w:asciiTheme="majorHAnsi" w:hAnsiTheme="majorHAnsi" w:cstheme="majorHAnsi"/>
        </w:rPr>
        <w:t>The school will contribute proportionate evidence, including progress, assessed needs, provision already made, pupil and parent views and relevant professional advice. Where a pupil has an EHC plan, the school will use its best endeavours to support the pupil and work with the local authority to secure the special educational provision specified in the plan. The local authority retains the statutory duty to secure the provision in section F.</w:t>
      </w:r>
    </w:p>
    <w:p w14:paraId="13DCC62C" w14:textId="77777777" w:rsidR="00396EE4" w:rsidRPr="00193920" w:rsidRDefault="00193920">
      <w:pPr>
        <w:rPr>
          <w:rFonts w:asciiTheme="majorHAnsi" w:hAnsiTheme="majorHAnsi" w:cstheme="majorHAnsi"/>
        </w:rPr>
      </w:pPr>
      <w:r w:rsidRPr="00193920">
        <w:rPr>
          <w:rFonts w:asciiTheme="majorHAnsi" w:hAnsiTheme="majorHAnsi" w:cstheme="majorHAnsi"/>
        </w:rPr>
        <w:t>EHC plans are reviewed at least every 12 months, with the local authority responsible for the statutory review process. The SENDCo coordinates the school’s contribution and works with the Headteacher, pupil, family and professionals. Proposed changes to a plan must be considered and made through the local authority’s statutory process; the school does not amend the statutory plan unilaterally.</w:t>
      </w:r>
    </w:p>
    <w:p w14:paraId="17AB5436" w14:textId="77777777" w:rsidR="00396EE4" w:rsidRPr="00193920" w:rsidRDefault="00193920">
      <w:pPr>
        <w:pStyle w:val="Heading1"/>
        <w:rPr>
          <w:rFonts w:cstheme="majorHAnsi"/>
        </w:rPr>
      </w:pPr>
      <w:r w:rsidRPr="00193920">
        <w:rPr>
          <w:rFonts w:cstheme="majorHAnsi"/>
        </w:rPr>
        <w:t>6. Partnerships with pupils and families</w:t>
      </w:r>
    </w:p>
    <w:p w14:paraId="22CA675F" w14:textId="77777777" w:rsidR="00396EE4" w:rsidRPr="00193920" w:rsidRDefault="00193920">
      <w:pPr>
        <w:rPr>
          <w:rFonts w:asciiTheme="majorHAnsi" w:hAnsiTheme="majorHAnsi" w:cstheme="majorHAnsi"/>
        </w:rPr>
      </w:pPr>
      <w:r w:rsidRPr="00193920">
        <w:rPr>
          <w:rFonts w:asciiTheme="majorHAnsi" w:hAnsiTheme="majorHAnsi" w:cstheme="majorHAnsi"/>
        </w:rPr>
        <w:t>Parents and carers know their children best. Staff listen to concerns, share successes and explain support in accessible language. Families are involved in identifying needs, setting outcomes and reviewing progress. Pupils are encouraged to express what helps them learn, what they find difficult and what matters to them, using suitable communication methods.</w:t>
      </w:r>
    </w:p>
    <w:p w14:paraId="49EC737D" w14:textId="77777777" w:rsidR="00396EE4" w:rsidRPr="00193920" w:rsidRDefault="00193920">
      <w:pPr>
        <w:rPr>
          <w:rFonts w:asciiTheme="majorHAnsi" w:hAnsiTheme="majorHAnsi" w:cstheme="majorHAnsi"/>
        </w:rPr>
      </w:pPr>
      <w:r w:rsidRPr="00193920">
        <w:rPr>
          <w:rFonts w:asciiTheme="majorHAnsi" w:hAnsiTheme="majorHAnsi" w:cstheme="majorHAnsi"/>
        </w:rPr>
        <w:t>The class teacher is normally the first point of contact. The SENDCo and Headteacher become involved when additional coordination, advice or escalation is required. Families may also access impartial information, advice and support through Lancashire SEND Information, Advice and Support Service (SENDIASS) and the local authority’s Local Offer.</w:t>
      </w:r>
    </w:p>
    <w:p w14:paraId="0F17634C" w14:textId="77777777" w:rsidR="00396EE4" w:rsidRPr="00193920" w:rsidRDefault="00193920">
      <w:pPr>
        <w:pStyle w:val="Heading1"/>
        <w:rPr>
          <w:rFonts w:cstheme="majorHAnsi"/>
        </w:rPr>
      </w:pPr>
      <w:r w:rsidRPr="00193920">
        <w:rPr>
          <w:rFonts w:cstheme="majorHAnsi"/>
        </w:rPr>
        <w:t>7. Admissions, transition and inclusion</w:t>
      </w:r>
    </w:p>
    <w:p w14:paraId="0F4908C5" w14:textId="77777777" w:rsidR="00396EE4" w:rsidRPr="00193920" w:rsidRDefault="00193920">
      <w:pPr>
        <w:rPr>
          <w:rFonts w:asciiTheme="majorHAnsi" w:hAnsiTheme="majorHAnsi" w:cstheme="majorHAnsi"/>
        </w:rPr>
      </w:pPr>
      <w:r w:rsidRPr="00193920">
        <w:rPr>
          <w:rFonts w:asciiTheme="majorHAnsi" w:hAnsiTheme="majorHAnsi" w:cstheme="majorHAnsi"/>
        </w:rPr>
        <w:t>Admissions are managed in accordance with the school’s Admissions Policy and relevant law. The school will not refuse admission or treat a pupil less favourably because of disability or SEN, subject to the applicable statutory admissions framework. We plan reasonable adjustments and transition support for entry to school, movement between classes and transfer to secondary school.</w:t>
      </w:r>
    </w:p>
    <w:p w14:paraId="7FE21CD8" w14:textId="77777777" w:rsidR="00396EE4" w:rsidRPr="00193920" w:rsidRDefault="00193920">
      <w:pPr>
        <w:rPr>
          <w:rFonts w:asciiTheme="majorHAnsi" w:hAnsiTheme="majorHAnsi" w:cstheme="majorHAnsi"/>
        </w:rPr>
      </w:pPr>
      <w:r w:rsidRPr="00193920">
        <w:rPr>
          <w:rFonts w:asciiTheme="majorHAnsi" w:hAnsiTheme="majorHAnsi" w:cstheme="majorHAnsi"/>
        </w:rPr>
        <w:lastRenderedPageBreak/>
        <w:t>With appropriate safeguards, information about needs, effective strategies, assessments and provision is shared promptly with receiving staff or settings. Pupils with SEND are supported to participate in lessons, trips, physical education, worship, clubs and the wider life of the school.</w:t>
      </w:r>
    </w:p>
    <w:p w14:paraId="20797BEA" w14:textId="77777777" w:rsidR="00396EE4" w:rsidRPr="00193920" w:rsidRDefault="00193920">
      <w:pPr>
        <w:pStyle w:val="Heading1"/>
        <w:rPr>
          <w:rFonts w:cstheme="majorHAnsi"/>
        </w:rPr>
      </w:pPr>
      <w:r w:rsidRPr="00193920">
        <w:rPr>
          <w:rFonts w:cstheme="majorHAnsi"/>
        </w:rPr>
        <w:t>8. Medical needs, accessibility and safeguarding</w:t>
      </w:r>
    </w:p>
    <w:p w14:paraId="6F9373C8" w14:textId="77777777" w:rsidR="00396EE4" w:rsidRPr="00193920" w:rsidRDefault="00193920">
      <w:pPr>
        <w:rPr>
          <w:rFonts w:asciiTheme="majorHAnsi" w:hAnsiTheme="majorHAnsi" w:cstheme="majorHAnsi"/>
        </w:rPr>
      </w:pPr>
      <w:r w:rsidRPr="00193920">
        <w:rPr>
          <w:rFonts w:asciiTheme="majorHAnsi" w:hAnsiTheme="majorHAnsi" w:cstheme="majorHAnsi"/>
        </w:rPr>
        <w:t>Pupils with medical conditions are supported in line with the school’s Supporting Pupils with Medical Conditions Policy. Where appropriate, individual healthcare plans and risk assessments are developed with families and health professionals. Having a medical condition does not automatically mean a pupil has SEN; some pupils have both medical needs and SEN.</w:t>
      </w:r>
    </w:p>
    <w:p w14:paraId="06CDAD35" w14:textId="77777777" w:rsidR="00396EE4" w:rsidRPr="00193920" w:rsidRDefault="00193920">
      <w:pPr>
        <w:rPr>
          <w:rFonts w:asciiTheme="majorHAnsi" w:hAnsiTheme="majorHAnsi" w:cstheme="majorHAnsi"/>
        </w:rPr>
      </w:pPr>
      <w:r w:rsidRPr="00193920">
        <w:rPr>
          <w:rFonts w:asciiTheme="majorHAnsi" w:hAnsiTheme="majorHAnsi" w:cstheme="majorHAnsi"/>
        </w:rPr>
        <w:t>The school considers its anticipatory reasonable-adjustment duties and maintains an Accessibility Plan addressing curriculum access, the physical environment and accessible information. Safeguarding concerns are reported immediately through the school’s safeguarding procedures to the Designated Safeguarding Lead or deputy; SEND processes must never delay safeguarding action.</w:t>
      </w:r>
    </w:p>
    <w:p w14:paraId="1B7A6CF3" w14:textId="77777777" w:rsidR="00396EE4" w:rsidRPr="00193920" w:rsidRDefault="00193920">
      <w:pPr>
        <w:pStyle w:val="Heading1"/>
        <w:rPr>
          <w:rFonts w:cstheme="majorHAnsi"/>
        </w:rPr>
      </w:pPr>
      <w:r w:rsidRPr="00193920">
        <w:rPr>
          <w:rFonts w:cstheme="majorHAnsi"/>
        </w:rPr>
        <w:t>9. Roles and responsibilities</w:t>
      </w:r>
    </w:p>
    <w:p w14:paraId="42B25D93" w14:textId="77777777" w:rsidR="00396EE4" w:rsidRPr="00193920" w:rsidRDefault="00193920">
      <w:pPr>
        <w:pStyle w:val="Heading2"/>
        <w:rPr>
          <w:rFonts w:cstheme="majorHAnsi"/>
        </w:rPr>
      </w:pPr>
      <w:r w:rsidRPr="00193920">
        <w:rPr>
          <w:rFonts w:cstheme="majorHAnsi"/>
        </w:rPr>
        <w:t>Governing body and SEND governor</w:t>
      </w:r>
    </w:p>
    <w:p w14:paraId="4FBCAC30"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 xml:space="preserve">Have oversight of the school’s duties and the effectiveness of SEND </w:t>
      </w:r>
      <w:r w:rsidRPr="00193920">
        <w:rPr>
          <w:rFonts w:asciiTheme="majorHAnsi" w:hAnsiTheme="majorHAnsi" w:cstheme="majorHAnsi"/>
        </w:rPr>
        <w:t>provision, including resources and outcomes.</w:t>
      </w:r>
    </w:p>
    <w:p w14:paraId="14269AD6"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Ensure a suitably qualified SENDCo is appointed and has sufficient time and support to carry out the role.</w:t>
      </w:r>
    </w:p>
    <w:p w14:paraId="280EBEB6"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Review SEND information, policy implementation and accessibility responsibilities.</w:t>
      </w:r>
    </w:p>
    <w:p w14:paraId="58B72415" w14:textId="77777777" w:rsidR="00396EE4" w:rsidRPr="00193920" w:rsidRDefault="00193920">
      <w:pPr>
        <w:pStyle w:val="Heading2"/>
        <w:rPr>
          <w:rFonts w:cstheme="majorHAnsi"/>
        </w:rPr>
      </w:pPr>
      <w:r w:rsidRPr="00193920">
        <w:rPr>
          <w:rFonts w:cstheme="majorHAnsi"/>
        </w:rPr>
        <w:t>Headteacher</w:t>
      </w:r>
    </w:p>
    <w:p w14:paraId="04F01CEA"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Provide strategic leadership, accountability and resources for SEND across the school.</w:t>
      </w:r>
    </w:p>
    <w:p w14:paraId="0A91E3F9"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Work closely with the SENDCo, staff and governors to evaluate provision and identify school-improvement priorities.</w:t>
      </w:r>
    </w:p>
    <w:p w14:paraId="19E38C52"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Support effective partnership working, training and escalation of complex issues.</w:t>
      </w:r>
    </w:p>
    <w:p w14:paraId="498AD67E" w14:textId="77777777" w:rsidR="00396EE4" w:rsidRPr="00193920" w:rsidRDefault="00193920">
      <w:pPr>
        <w:pStyle w:val="Heading2"/>
        <w:rPr>
          <w:rFonts w:cstheme="majorHAnsi"/>
        </w:rPr>
      </w:pPr>
      <w:r w:rsidRPr="00193920">
        <w:rPr>
          <w:rFonts w:cstheme="majorHAnsi"/>
        </w:rPr>
        <w:t>SENDCo</w:t>
      </w:r>
    </w:p>
    <w:p w14:paraId="6E537C28"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Coordinate day-to-day SEN provision and implementation of this policy.</w:t>
      </w:r>
    </w:p>
    <w:p w14:paraId="13CF0950"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Advise and support class teachers on identification, assessment, planning and inclusive practice.</w:t>
      </w:r>
    </w:p>
    <w:p w14:paraId="08A5026E"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Oversee SEND records, provision mapping, reviews and links with parents and external professionals.</w:t>
      </w:r>
    </w:p>
    <w:p w14:paraId="3D5AEA90"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Monitor effectiveness and contribute to staff professional development and governor reporting.</w:t>
      </w:r>
    </w:p>
    <w:p w14:paraId="63E55D6B"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Meet applicable statutory qualification requirements, including transitional arrangements where relevant.</w:t>
      </w:r>
    </w:p>
    <w:p w14:paraId="713DBA2B" w14:textId="77777777" w:rsidR="00396EE4" w:rsidRPr="00193920" w:rsidRDefault="00193920">
      <w:pPr>
        <w:pStyle w:val="Heading2"/>
        <w:rPr>
          <w:rFonts w:cstheme="majorHAnsi"/>
        </w:rPr>
      </w:pPr>
      <w:r w:rsidRPr="00193920">
        <w:rPr>
          <w:rFonts w:cstheme="majorHAnsi"/>
        </w:rPr>
        <w:t>Class teachers</w:t>
      </w:r>
    </w:p>
    <w:p w14:paraId="681BFDD4"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Remain responsible and accountable for the progress and development of pupils in their class.</w:t>
      </w:r>
    </w:p>
    <w:p w14:paraId="14E591C0"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Plan inclusive teaching and reasonable adjustments, identify needs and implement the graduated response.</w:t>
      </w:r>
    </w:p>
    <w:p w14:paraId="46151D29"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Set and review meaningful outcomes, direct support staff and maintain relevant records.</w:t>
      </w:r>
    </w:p>
    <w:p w14:paraId="330C8064"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Communicate regularly with pupils, parents/carers and the SENDCo.</w:t>
      </w:r>
    </w:p>
    <w:p w14:paraId="01A655A6" w14:textId="77777777" w:rsidR="00396EE4" w:rsidRPr="00193920" w:rsidRDefault="00193920">
      <w:pPr>
        <w:pStyle w:val="Heading2"/>
        <w:rPr>
          <w:rFonts w:cstheme="majorHAnsi"/>
        </w:rPr>
      </w:pPr>
      <w:r w:rsidRPr="00193920">
        <w:rPr>
          <w:rFonts w:cstheme="majorHAnsi"/>
        </w:rPr>
        <w:t>Support staff</w:t>
      </w:r>
    </w:p>
    <w:p w14:paraId="65306232"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Implement agreed support under the direction of the class teacher and contribute observations and evidence of progress.</w:t>
      </w:r>
    </w:p>
    <w:p w14:paraId="0C340E68"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Promote independence, dignity, safety and full participation.</w:t>
      </w:r>
    </w:p>
    <w:p w14:paraId="44195C7C"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lastRenderedPageBreak/>
        <w:t>Share concerns promptly with the teacher, SENDCo or safeguarding lead as appropriate.</w:t>
      </w:r>
    </w:p>
    <w:p w14:paraId="1BFDDD70" w14:textId="77777777" w:rsidR="00396EE4" w:rsidRPr="00193920" w:rsidRDefault="00193920">
      <w:pPr>
        <w:pStyle w:val="ListBullet"/>
        <w:rPr>
          <w:rFonts w:asciiTheme="majorHAnsi" w:hAnsiTheme="majorHAnsi" w:cstheme="majorHAnsi"/>
        </w:rPr>
      </w:pPr>
      <w:r w:rsidRPr="00193920">
        <w:rPr>
          <w:rFonts w:asciiTheme="majorHAnsi" w:hAnsiTheme="majorHAnsi" w:cstheme="majorHAnsi"/>
        </w:rPr>
        <w:t>Undertake relevant training and follow school policies.</w:t>
      </w:r>
    </w:p>
    <w:p w14:paraId="7524C3BD" w14:textId="77777777" w:rsidR="00396EE4" w:rsidRPr="00193920" w:rsidRDefault="00193920">
      <w:pPr>
        <w:pStyle w:val="Heading1"/>
        <w:rPr>
          <w:rFonts w:cstheme="majorHAnsi"/>
        </w:rPr>
      </w:pPr>
      <w:r w:rsidRPr="00193920">
        <w:rPr>
          <w:rFonts w:cstheme="majorHAnsi"/>
        </w:rPr>
        <w:t>10. Training, staffing and resources</w:t>
      </w:r>
    </w:p>
    <w:p w14:paraId="1E761064" w14:textId="77777777" w:rsidR="00396EE4" w:rsidRPr="00193920" w:rsidRDefault="00193920">
      <w:pPr>
        <w:rPr>
          <w:rFonts w:asciiTheme="majorHAnsi" w:hAnsiTheme="majorHAnsi" w:cstheme="majorHAnsi"/>
        </w:rPr>
      </w:pPr>
      <w:r w:rsidRPr="00193920">
        <w:rPr>
          <w:rFonts w:asciiTheme="majorHAnsi" w:hAnsiTheme="majorHAnsi" w:cstheme="majorHAnsi"/>
        </w:rPr>
        <w:t>The Headteacher and governing body ensure that SEND is considered in staffing, professional development, deployment of support staff and use of available funding. The SENDCo identifies relevant training needs and disseminates effective practice. Decisions about interventions and specialist input are guided by assessed need, intended outcomes and review of impact. Funding and provision are recorded in accordance with school systems and any EHC plan requirements.</w:t>
      </w:r>
    </w:p>
    <w:p w14:paraId="325F8101" w14:textId="77777777" w:rsidR="00396EE4" w:rsidRPr="00193920" w:rsidRDefault="00193920">
      <w:pPr>
        <w:pStyle w:val="Heading1"/>
        <w:rPr>
          <w:rFonts w:cstheme="majorHAnsi"/>
        </w:rPr>
      </w:pPr>
      <w:r w:rsidRPr="00193920">
        <w:rPr>
          <w:rFonts w:cstheme="majorHAnsi"/>
        </w:rPr>
        <w:t>11. Recording, confidentiality and information sharing</w:t>
      </w:r>
    </w:p>
    <w:p w14:paraId="14E4D171" w14:textId="77777777" w:rsidR="00396EE4" w:rsidRPr="00193920" w:rsidRDefault="00193920">
      <w:pPr>
        <w:rPr>
          <w:rFonts w:asciiTheme="majorHAnsi" w:hAnsiTheme="majorHAnsi" w:cstheme="majorHAnsi"/>
        </w:rPr>
      </w:pPr>
      <w:r w:rsidRPr="00193920">
        <w:rPr>
          <w:rFonts w:asciiTheme="majorHAnsi" w:hAnsiTheme="majorHAnsi" w:cstheme="majorHAnsi"/>
        </w:rPr>
        <w:t xml:space="preserve">The school maintains </w:t>
      </w:r>
      <w:r w:rsidRPr="00193920">
        <w:rPr>
          <w:rFonts w:asciiTheme="majorHAnsi" w:hAnsiTheme="majorHAnsi" w:cstheme="majorHAnsi"/>
        </w:rPr>
        <w:t>proportionate and accurate SEND records, including assessments, agreed outcomes, support plans, review notes, parental and pupil views, professional reports and relevant correspondence. Information is stored securely and shared only where there is an appropriate lawful basis and a legitimate need, in accordance with the school’s data protection and records-retention arrangements. Families may request access to personal information through the school’s published procedures.</w:t>
      </w:r>
    </w:p>
    <w:p w14:paraId="294399DE" w14:textId="77777777" w:rsidR="00396EE4" w:rsidRPr="00193920" w:rsidRDefault="00193920">
      <w:pPr>
        <w:pStyle w:val="Heading1"/>
        <w:rPr>
          <w:rFonts w:cstheme="majorHAnsi"/>
        </w:rPr>
      </w:pPr>
      <w:r w:rsidRPr="00193920">
        <w:rPr>
          <w:rFonts w:cstheme="majorHAnsi"/>
        </w:rPr>
        <w:t>12. Monitoring and evaluation</w:t>
      </w:r>
    </w:p>
    <w:p w14:paraId="2172ADDF" w14:textId="77777777" w:rsidR="00396EE4" w:rsidRPr="00193920" w:rsidRDefault="00193920">
      <w:pPr>
        <w:rPr>
          <w:rFonts w:asciiTheme="majorHAnsi" w:hAnsiTheme="majorHAnsi" w:cstheme="majorHAnsi"/>
        </w:rPr>
      </w:pPr>
      <w:r w:rsidRPr="00193920">
        <w:rPr>
          <w:rFonts w:asciiTheme="majorHAnsi" w:hAnsiTheme="majorHAnsi" w:cstheme="majorHAnsi"/>
        </w:rPr>
        <w:t>The SENDCo and Headteacher evaluate SEND provision through pupil progress and outcomes, quality of teaching, attendance and participation, pupil and parent feedback, provision reviews and relevant professional advice. Findings inform school improvement, staff training and resource decisions. The governing body receives appropriate summary information while individual pupil confidentiality is protected.</w:t>
      </w:r>
    </w:p>
    <w:p w14:paraId="4784FDC8" w14:textId="77777777" w:rsidR="00396EE4" w:rsidRPr="00193920" w:rsidRDefault="00193920">
      <w:pPr>
        <w:pStyle w:val="Heading1"/>
        <w:rPr>
          <w:rFonts w:cstheme="majorHAnsi"/>
        </w:rPr>
      </w:pPr>
      <w:r w:rsidRPr="00193920">
        <w:rPr>
          <w:rFonts w:cstheme="majorHAnsi"/>
        </w:rPr>
        <w:t>13. Bullying, equality and wellbeing</w:t>
      </w:r>
    </w:p>
    <w:p w14:paraId="5408BD38" w14:textId="77777777" w:rsidR="00396EE4" w:rsidRPr="00193920" w:rsidRDefault="00193920">
      <w:pPr>
        <w:rPr>
          <w:rFonts w:asciiTheme="majorHAnsi" w:hAnsiTheme="majorHAnsi" w:cstheme="majorHAnsi"/>
        </w:rPr>
      </w:pPr>
      <w:r w:rsidRPr="00193920">
        <w:rPr>
          <w:rFonts w:asciiTheme="majorHAnsi" w:hAnsiTheme="majorHAnsi" w:cstheme="majorHAnsi"/>
        </w:rPr>
        <w:t>Winmarleigh is committed to a safe, respectful culture. Pupils with SEND may be particularly vulnerable to bullying, isolation or exclusion. Staff proactively promote belonging, address bullying promptly and consider whether additional communication, emotional regulation or pastoral support is needed. The school follows its Behaviour and Anti-bullying Policies and its duties under the Equality Act 2010.</w:t>
      </w:r>
    </w:p>
    <w:p w14:paraId="6E4FE5D5" w14:textId="77777777" w:rsidR="00396EE4" w:rsidRPr="00193920" w:rsidRDefault="00193920">
      <w:pPr>
        <w:pStyle w:val="Heading1"/>
        <w:rPr>
          <w:rFonts w:cstheme="majorHAnsi"/>
        </w:rPr>
      </w:pPr>
      <w:r w:rsidRPr="00193920">
        <w:rPr>
          <w:rFonts w:cstheme="majorHAnsi"/>
        </w:rPr>
        <w:t>14. Accessibility and published information</w:t>
      </w:r>
    </w:p>
    <w:p w14:paraId="0A310A14" w14:textId="77777777" w:rsidR="00396EE4" w:rsidRPr="00193920" w:rsidRDefault="00193920">
      <w:pPr>
        <w:rPr>
          <w:rFonts w:asciiTheme="majorHAnsi" w:hAnsiTheme="majorHAnsi" w:cstheme="majorHAnsi"/>
        </w:rPr>
      </w:pPr>
      <w:r w:rsidRPr="00193920">
        <w:rPr>
          <w:rFonts w:asciiTheme="majorHAnsi" w:hAnsiTheme="majorHAnsi" w:cstheme="majorHAnsi"/>
        </w:rPr>
        <w:t>The school publishes its SEND Information Report and Accessibility Plan, and provides information about how parents can contact the SENDCo, access the Lancashire Local Offer and raise concerns. These documents are reviewed on their applicable schedules and kept consistent with this policy and the school’s graduated response pathway.</w:t>
      </w:r>
    </w:p>
    <w:p w14:paraId="165C51BF" w14:textId="77777777" w:rsidR="00396EE4" w:rsidRPr="00193920" w:rsidRDefault="00193920">
      <w:pPr>
        <w:pStyle w:val="Heading1"/>
        <w:rPr>
          <w:rFonts w:cstheme="majorHAnsi"/>
        </w:rPr>
      </w:pPr>
      <w:r w:rsidRPr="00193920">
        <w:rPr>
          <w:rFonts w:cstheme="majorHAnsi"/>
        </w:rPr>
        <w:t>15. Concerns and complaints</w:t>
      </w:r>
    </w:p>
    <w:p w14:paraId="6EB8D3DE" w14:textId="77777777" w:rsidR="00396EE4" w:rsidRPr="00193920" w:rsidRDefault="00193920">
      <w:pPr>
        <w:rPr>
          <w:rFonts w:asciiTheme="majorHAnsi" w:hAnsiTheme="majorHAnsi" w:cstheme="majorHAnsi"/>
        </w:rPr>
      </w:pPr>
      <w:r w:rsidRPr="00193920">
        <w:rPr>
          <w:rFonts w:asciiTheme="majorHAnsi" w:hAnsiTheme="majorHAnsi" w:cstheme="majorHAnsi"/>
        </w:rPr>
        <w:t>Parents and carers are encouraged to raise concerns initially with the class teacher. If unresolved, they may speak with the SENDCo and then the Headteacher. Formal complaints are considered under the school’s published Complaints Procedure, including the appropriate governing-body stage. Families will also be signposted to impartial SEND advice and relevant disagreement-resolution or appeal routes where these apply. Safeguarding concerns follow safeguarding procedures rather than the ordinary complaints ro</w:t>
      </w:r>
      <w:r w:rsidRPr="00193920">
        <w:rPr>
          <w:rFonts w:asciiTheme="majorHAnsi" w:hAnsiTheme="majorHAnsi" w:cstheme="majorHAnsi"/>
        </w:rPr>
        <w:t>ute.</w:t>
      </w:r>
    </w:p>
    <w:p w14:paraId="43A4D06D" w14:textId="77777777" w:rsidR="00396EE4" w:rsidRPr="00193920" w:rsidRDefault="00193920">
      <w:pPr>
        <w:pStyle w:val="Heading1"/>
        <w:rPr>
          <w:rFonts w:cstheme="majorHAnsi"/>
        </w:rPr>
      </w:pPr>
      <w:r w:rsidRPr="00193920">
        <w:rPr>
          <w:rFonts w:cstheme="majorHAnsi"/>
        </w:rPr>
        <w:t>16. Policy review</w:t>
      </w:r>
    </w:p>
    <w:p w14:paraId="24DCCB47" w14:textId="77777777" w:rsidR="00396EE4" w:rsidRPr="00193920" w:rsidRDefault="00193920">
      <w:pPr>
        <w:rPr>
          <w:rFonts w:asciiTheme="majorHAnsi" w:hAnsiTheme="majorHAnsi" w:cstheme="majorHAnsi"/>
        </w:rPr>
      </w:pPr>
      <w:r w:rsidRPr="00193920">
        <w:rPr>
          <w:rFonts w:asciiTheme="majorHAnsi" w:hAnsiTheme="majorHAnsi" w:cstheme="majorHAnsi"/>
        </w:rPr>
        <w:t>This policy is reviewed at least annually, with the next scheduled review in September 2027, and earlier where legislation, statutory guidance or school practice changes. The Headteacher and SENDCo will recommend revisions for governing-body consideration.</w:t>
      </w:r>
    </w:p>
    <w:sectPr w:rsidR="00396EE4" w:rsidRPr="00193920" w:rsidSect="00193920">
      <w:footerReference w:type="default" r:id="rId10"/>
      <w:pgSz w:w="12240" w:h="15840"/>
      <w:pgMar w:top="1123" w:right="1224" w:bottom="1008" w:left="1224" w:header="720" w:footer="720" w:gutter="0"/>
      <w:pgBorders w:offsetFrom="page">
        <w:top w:val="single" w:sz="12" w:space="24" w:color="632423" w:themeColor="accent2" w:themeShade="80"/>
        <w:left w:val="single" w:sz="12" w:space="24" w:color="632423" w:themeColor="accent2" w:themeShade="80"/>
        <w:bottom w:val="single" w:sz="12" w:space="24" w:color="632423" w:themeColor="accent2" w:themeShade="80"/>
        <w:right w:val="single" w:sz="12" w:space="24" w:color="632423" w:themeColor="accent2" w:themeShade="8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2A85EB" w14:textId="77777777" w:rsidR="00193920" w:rsidRDefault="00193920">
      <w:pPr>
        <w:spacing w:after="0" w:line="240" w:lineRule="auto"/>
      </w:pPr>
      <w:r>
        <w:separator/>
      </w:r>
    </w:p>
  </w:endnote>
  <w:endnote w:type="continuationSeparator" w:id="0">
    <w:p w14:paraId="09FE2D47" w14:textId="77777777" w:rsidR="00193920" w:rsidRDefault="0019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6BE72" w14:textId="291D494B" w:rsidR="00396EE4" w:rsidRDefault="00396EE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3E7AC" w14:textId="77777777" w:rsidR="00193920" w:rsidRDefault="00193920">
      <w:pPr>
        <w:spacing w:after="0" w:line="240" w:lineRule="auto"/>
      </w:pPr>
      <w:r>
        <w:separator/>
      </w:r>
    </w:p>
  </w:footnote>
  <w:footnote w:type="continuationSeparator" w:id="0">
    <w:p w14:paraId="32D717CA" w14:textId="77777777" w:rsidR="00193920" w:rsidRDefault="001939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16031956">
    <w:abstractNumId w:val="8"/>
  </w:num>
  <w:num w:numId="2" w16cid:durableId="1682660320">
    <w:abstractNumId w:val="6"/>
  </w:num>
  <w:num w:numId="3" w16cid:durableId="261883952">
    <w:abstractNumId w:val="5"/>
  </w:num>
  <w:num w:numId="4" w16cid:durableId="1410614980">
    <w:abstractNumId w:val="4"/>
  </w:num>
  <w:num w:numId="5" w16cid:durableId="1953047165">
    <w:abstractNumId w:val="7"/>
  </w:num>
  <w:num w:numId="6" w16cid:durableId="239868755">
    <w:abstractNumId w:val="3"/>
  </w:num>
  <w:num w:numId="7" w16cid:durableId="538858508">
    <w:abstractNumId w:val="2"/>
  </w:num>
  <w:num w:numId="8" w16cid:durableId="1353458739">
    <w:abstractNumId w:val="1"/>
  </w:num>
  <w:num w:numId="9" w16cid:durableId="1003387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3920"/>
    <w:rsid w:val="0029639D"/>
    <w:rsid w:val="00326F90"/>
    <w:rsid w:val="00396EE4"/>
    <w:rsid w:val="00AA1D8D"/>
    <w:rsid w:val="00B47730"/>
    <w:rsid w:val="00C00A7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63DDB8F"/>
  <w14:defaultImageDpi w14:val="300"/>
  <w15:docId w15:val="{2C99D8C3-F983-4C25-92D9-ACC48AA44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ptos" w:hAnsi="Aptos"/>
      <w:color w:val="372E28"/>
      <w:sz w:val="20"/>
    </w:rPr>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b/>
      <w:bCs/>
      <w:color w:val="5C2A16"/>
      <w:sz w:val="28"/>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b/>
      <w:bCs/>
      <w:color w:val="5C2A16"/>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260" w:after="100" w:line="240" w:lineRule="auto"/>
      <w:contextualSpacing/>
    </w:pPr>
    <w:rPr>
      <w:rFonts w:asciiTheme="majorHAnsi" w:eastAsiaTheme="majorEastAsia" w:hAnsiTheme="majorHAnsi" w:cstheme="majorBidi"/>
      <w:b/>
      <w:color w:val="5C2A16"/>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2405</Words>
  <Characters>13711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16084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Jennifer Cunningham</cp:lastModifiedBy>
  <cp:revision>2</cp:revision>
  <dcterms:created xsi:type="dcterms:W3CDTF">2026-11-03T20:37:00Z</dcterms:created>
  <dcterms:modified xsi:type="dcterms:W3CDTF">2026-11-03T20:37:00Z</dcterms:modified>
  <cp:category/>
</cp:coreProperties>
</file>